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90" w:rsidRPr="00DD2690" w:rsidRDefault="00EC13FA" w:rsidP="00DD269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2690">
        <w:rPr>
          <w:rFonts w:ascii="Times New Roman" w:hAnsi="Times New Roman" w:cs="Times New Roman"/>
          <w:b/>
          <w:sz w:val="32"/>
          <w:szCs w:val="32"/>
        </w:rPr>
        <w:t>Задача № 4.</w:t>
      </w:r>
    </w:p>
    <w:p w:rsidR="00DD2690" w:rsidRPr="00DD2690" w:rsidRDefault="00EC13FA">
      <w:pPr>
        <w:rPr>
          <w:rFonts w:ascii="Times New Roman" w:hAnsi="Times New Roman" w:cs="Times New Roman"/>
          <w:b/>
          <w:sz w:val="32"/>
          <w:szCs w:val="32"/>
        </w:rPr>
      </w:pPr>
      <w:r w:rsidRPr="00DD2690">
        <w:rPr>
          <w:rFonts w:ascii="Times New Roman" w:hAnsi="Times New Roman" w:cs="Times New Roman"/>
          <w:b/>
          <w:sz w:val="32"/>
          <w:szCs w:val="32"/>
        </w:rPr>
        <w:t>Заболеваемость вирусным гепатитом</w:t>
      </w:r>
      <w:proofErr w:type="gramStart"/>
      <w:r w:rsidRPr="00DD2690">
        <w:rPr>
          <w:rFonts w:ascii="Times New Roman" w:hAnsi="Times New Roman" w:cs="Times New Roman"/>
          <w:b/>
          <w:sz w:val="32"/>
          <w:szCs w:val="32"/>
        </w:rPr>
        <w:t xml:space="preserve"> В</w:t>
      </w:r>
      <w:proofErr w:type="gramEnd"/>
      <w:r w:rsidRPr="00DD2690">
        <w:rPr>
          <w:rFonts w:ascii="Times New Roman" w:hAnsi="Times New Roman" w:cs="Times New Roman"/>
          <w:b/>
          <w:sz w:val="32"/>
          <w:szCs w:val="32"/>
        </w:rPr>
        <w:t>, С в РФ и Москве в 1990-2003гг.</w:t>
      </w:r>
    </w:p>
    <w:p w:rsidR="00EC13FA" w:rsidRDefault="00EC13FA">
      <w:r w:rsidRPr="00EC13FA">
        <w:drawing>
          <wp:inline distT="0" distB="0" distL="0" distR="0">
            <wp:extent cx="5521325" cy="2857500"/>
            <wp:effectExtent l="19050" t="0" r="222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C13FA" w:rsidRDefault="00EC13FA">
      <w:r w:rsidRPr="00EC13FA">
        <w:drawing>
          <wp:inline distT="0" distB="0" distL="0" distR="0">
            <wp:extent cx="5521325" cy="2867025"/>
            <wp:effectExtent l="19050" t="0" r="222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00CD5" w:rsidRDefault="00C00CD5" w:rsidP="00C00CD5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C00CD5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Вопросы к задаче: </w:t>
      </w:r>
    </w:p>
    <w:p w:rsidR="00C00CD5" w:rsidRPr="00C00CD5" w:rsidRDefault="00C00CD5" w:rsidP="00C00C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CD5" w:rsidRPr="00C00CD5" w:rsidRDefault="00C00CD5" w:rsidP="00C00CD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CD5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1) Проанализируйте характер и проявления эпидемического процесса вирусных гепатитов</w:t>
      </w:r>
      <w:proofErr w:type="gramStart"/>
      <w:r w:rsidRPr="00C00CD5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В</w:t>
      </w:r>
      <w:proofErr w:type="gramEnd"/>
      <w:r w:rsidRPr="00C00CD5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и С по годам.</w:t>
      </w:r>
      <w:r w:rsidRPr="00C00CD5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C00CD5" w:rsidRPr="00C00CD5" w:rsidRDefault="00C00CD5" w:rsidP="00C00CD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CD5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2) Оцените особенности эпидемического процесса при вирусных гепатитах</w:t>
      </w:r>
      <w:proofErr w:type="gramStart"/>
      <w:r w:rsidRPr="00C00CD5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В</w:t>
      </w:r>
      <w:proofErr w:type="gramEnd"/>
      <w:r w:rsidRPr="00C00CD5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и С.</w:t>
      </w:r>
      <w:r w:rsidRPr="00C00CD5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p w:rsidR="00EC13FA" w:rsidRPr="00C00CD5" w:rsidRDefault="00C00CD5" w:rsidP="00C00CD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CD5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3) Выставите прогноз эпидемической ситуации по вирусным гепатитам</w:t>
      </w:r>
      <w:proofErr w:type="gramStart"/>
      <w:r w:rsidRPr="00C00CD5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В</w:t>
      </w:r>
      <w:proofErr w:type="gramEnd"/>
      <w:r w:rsidRPr="00C00CD5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и С в РФ и Москве.</w:t>
      </w:r>
      <w:r w:rsidRPr="00C00CD5">
        <w:rPr>
          <w:rFonts w:ascii="Arial" w:eastAsia="+mn-ea" w:hAnsi="Arial" w:cs="+mn-cs"/>
          <w:color w:val="000000"/>
          <w:kern w:val="24"/>
          <w:sz w:val="18"/>
          <w:szCs w:val="18"/>
          <w:lang w:eastAsia="ru-RU"/>
        </w:rPr>
        <w:t xml:space="preserve"> </w:t>
      </w:r>
    </w:p>
    <w:sectPr w:rsidR="00EC13FA" w:rsidRPr="00C00CD5" w:rsidSect="00B5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3FA"/>
    <w:rsid w:val="00176210"/>
    <w:rsid w:val="00A6153B"/>
    <w:rsid w:val="00B51C71"/>
    <w:rsid w:val="00C00CD5"/>
    <w:rsid w:val="00DD2690"/>
    <w:rsid w:val="00EC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7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3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вирусный гепатит С в РФ</c:v>
                </c:pt>
              </c:strCache>
            </c:strRef>
          </c:tx>
          <c:cat>
            <c:numRef>
              <c:f>Лист1!$A$2:$A$15</c:f>
              <c:numCache>
                <c:formatCode>General</c:formatCode>
                <c:ptCount val="14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</c:numCache>
            </c:num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8</c:v>
                </c:pt>
                <c:pt idx="7">
                  <c:v>9</c:v>
                </c:pt>
                <c:pt idx="8">
                  <c:v>12</c:v>
                </c:pt>
                <c:pt idx="9">
                  <c:v>21</c:v>
                </c:pt>
                <c:pt idx="10">
                  <c:v>21</c:v>
                </c:pt>
                <c:pt idx="11">
                  <c:v>17</c:v>
                </c:pt>
                <c:pt idx="12">
                  <c:v>7</c:v>
                </c:pt>
                <c:pt idx="13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вирусный гепатит В в РФ</c:v>
                </c:pt>
              </c:strCache>
            </c:strRef>
          </c:tx>
          <c:cat>
            <c:numRef>
              <c:f>Лист1!$A$2:$A$15</c:f>
              <c:numCache>
                <c:formatCode>General</c:formatCode>
                <c:ptCount val="14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</c:numCache>
            </c:numRef>
          </c:cat>
          <c:val>
            <c:numRef>
              <c:f>Лист1!$C$2:$C$15</c:f>
              <c:numCache>
                <c:formatCode>General</c:formatCode>
                <c:ptCount val="14"/>
                <c:pt idx="0">
                  <c:v>22</c:v>
                </c:pt>
                <c:pt idx="1">
                  <c:v>18</c:v>
                </c:pt>
                <c:pt idx="2">
                  <c:v>18</c:v>
                </c:pt>
                <c:pt idx="3">
                  <c:v>23</c:v>
                </c:pt>
                <c:pt idx="4">
                  <c:v>27</c:v>
                </c:pt>
                <c:pt idx="5">
                  <c:v>36</c:v>
                </c:pt>
                <c:pt idx="6">
                  <c:v>36</c:v>
                </c:pt>
                <c:pt idx="7">
                  <c:v>36</c:v>
                </c:pt>
                <c:pt idx="8">
                  <c:v>35</c:v>
                </c:pt>
                <c:pt idx="9">
                  <c:v>42</c:v>
                </c:pt>
                <c:pt idx="10">
                  <c:v>41</c:v>
                </c:pt>
                <c:pt idx="11">
                  <c:v>37</c:v>
                </c:pt>
                <c:pt idx="12">
                  <c:v>20</c:v>
                </c:pt>
                <c:pt idx="13">
                  <c:v>12</c:v>
                </c:pt>
              </c:numCache>
            </c:numRef>
          </c:val>
        </c:ser>
        <c:marker val="1"/>
        <c:axId val="80474496"/>
        <c:axId val="80591104"/>
      </c:lineChart>
      <c:catAx>
        <c:axId val="80474496"/>
        <c:scaling>
          <c:orientation val="minMax"/>
        </c:scaling>
        <c:axPos val="b"/>
        <c:numFmt formatCode="General" sourceLinked="1"/>
        <c:tickLblPos val="nextTo"/>
        <c:crossAx val="80591104"/>
        <c:crosses val="autoZero"/>
        <c:auto val="1"/>
        <c:lblAlgn val="ctr"/>
        <c:lblOffset val="100"/>
      </c:catAx>
      <c:valAx>
        <c:axId val="80591104"/>
        <c:scaling>
          <c:orientation val="minMax"/>
        </c:scaling>
        <c:axPos val="l"/>
        <c:majorGridlines/>
        <c:numFmt formatCode="General" sourceLinked="1"/>
        <c:tickLblPos val="nextTo"/>
        <c:crossAx val="80474496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вирусный гепатит С в Москве</c:v>
                </c:pt>
              </c:strCache>
            </c:strRef>
          </c:tx>
          <c:cat>
            <c:numRef>
              <c:f>Лист1!$A$2:$A$15</c:f>
              <c:numCache>
                <c:formatCode>General</c:formatCode>
                <c:ptCount val="14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</c:numCache>
            </c:num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3</c:v>
                </c:pt>
                <c:pt idx="5">
                  <c:v>7</c:v>
                </c:pt>
                <c:pt idx="6">
                  <c:v>9</c:v>
                </c:pt>
                <c:pt idx="7">
                  <c:v>13</c:v>
                </c:pt>
                <c:pt idx="8">
                  <c:v>21</c:v>
                </c:pt>
                <c:pt idx="9">
                  <c:v>45</c:v>
                </c:pt>
                <c:pt idx="10">
                  <c:v>28</c:v>
                </c:pt>
                <c:pt idx="11">
                  <c:v>18</c:v>
                </c:pt>
                <c:pt idx="12">
                  <c:v>8</c:v>
                </c:pt>
                <c:pt idx="13">
                  <c:v>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вирусный гепатит В в Москве</c:v>
                </c:pt>
              </c:strCache>
            </c:strRef>
          </c:tx>
          <c:cat>
            <c:numRef>
              <c:f>Лист1!$A$2:$A$15</c:f>
              <c:numCache>
                <c:formatCode>General</c:formatCode>
                <c:ptCount val="14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</c:numCache>
            </c:numRef>
          </c:cat>
          <c:val>
            <c:numRef>
              <c:f>Лист1!$C$2:$C$15</c:f>
              <c:numCache>
                <c:formatCode>General</c:formatCode>
                <c:ptCount val="14"/>
                <c:pt idx="0">
                  <c:v>17</c:v>
                </c:pt>
                <c:pt idx="1">
                  <c:v>17</c:v>
                </c:pt>
                <c:pt idx="2">
                  <c:v>17</c:v>
                </c:pt>
                <c:pt idx="3">
                  <c:v>20</c:v>
                </c:pt>
                <c:pt idx="4">
                  <c:v>25</c:v>
                </c:pt>
                <c:pt idx="5">
                  <c:v>32</c:v>
                </c:pt>
                <c:pt idx="6">
                  <c:v>40</c:v>
                </c:pt>
                <c:pt idx="7">
                  <c:v>62</c:v>
                </c:pt>
                <c:pt idx="8">
                  <c:v>65</c:v>
                </c:pt>
                <c:pt idx="9">
                  <c:v>62</c:v>
                </c:pt>
                <c:pt idx="10">
                  <c:v>40</c:v>
                </c:pt>
                <c:pt idx="11">
                  <c:v>30</c:v>
                </c:pt>
                <c:pt idx="12">
                  <c:v>18</c:v>
                </c:pt>
                <c:pt idx="13">
                  <c:v>12</c:v>
                </c:pt>
              </c:numCache>
            </c:numRef>
          </c:val>
        </c:ser>
        <c:shape val="box"/>
        <c:axId val="89032960"/>
        <c:axId val="89067904"/>
        <c:axId val="0"/>
      </c:bar3DChart>
      <c:catAx>
        <c:axId val="89032960"/>
        <c:scaling>
          <c:orientation val="minMax"/>
        </c:scaling>
        <c:axPos val="b"/>
        <c:numFmt formatCode="General" sourceLinked="1"/>
        <c:tickLblPos val="nextTo"/>
        <c:crossAx val="89067904"/>
        <c:crosses val="autoZero"/>
        <c:auto val="1"/>
        <c:lblAlgn val="ctr"/>
        <c:lblOffset val="100"/>
      </c:catAx>
      <c:valAx>
        <c:axId val="89067904"/>
        <c:scaling>
          <c:orientation val="minMax"/>
        </c:scaling>
        <c:axPos val="l"/>
        <c:majorGridlines/>
        <c:numFmt formatCode="General" sourceLinked="1"/>
        <c:tickLblPos val="nextTo"/>
        <c:crossAx val="89032960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2013-04-18T11:27:00Z</dcterms:created>
  <dcterms:modified xsi:type="dcterms:W3CDTF">2013-04-18T11:53:00Z</dcterms:modified>
</cp:coreProperties>
</file>