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98" w:rsidRPr="00E11764" w:rsidRDefault="00E11764" w:rsidP="00E117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1764">
        <w:rPr>
          <w:rFonts w:ascii="Times New Roman" w:hAnsi="Times New Roman" w:cs="Times New Roman"/>
          <w:b/>
          <w:sz w:val="32"/>
          <w:szCs w:val="32"/>
        </w:rPr>
        <w:t>Задача № 7.</w:t>
      </w:r>
    </w:p>
    <w:p w:rsidR="00E11764" w:rsidRPr="00E11764" w:rsidRDefault="00E11764">
      <w:pPr>
        <w:rPr>
          <w:rFonts w:ascii="Times New Roman" w:hAnsi="Times New Roman" w:cs="Times New Roman"/>
          <w:b/>
          <w:sz w:val="32"/>
          <w:szCs w:val="32"/>
        </w:rPr>
      </w:pPr>
      <w:r w:rsidRPr="00E11764">
        <w:rPr>
          <w:rFonts w:ascii="Times New Roman" w:hAnsi="Times New Roman" w:cs="Times New Roman"/>
          <w:b/>
          <w:sz w:val="32"/>
          <w:szCs w:val="32"/>
        </w:rPr>
        <w:t xml:space="preserve">Заболеваемость </w:t>
      </w:r>
      <w:proofErr w:type="spellStart"/>
      <w:r w:rsidRPr="00E11764">
        <w:rPr>
          <w:rFonts w:ascii="Times New Roman" w:hAnsi="Times New Roman" w:cs="Times New Roman"/>
          <w:b/>
          <w:sz w:val="32"/>
          <w:szCs w:val="32"/>
        </w:rPr>
        <w:t>шигеллезами</w:t>
      </w:r>
      <w:proofErr w:type="spellEnd"/>
      <w:r w:rsidRPr="00E1176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11764">
        <w:rPr>
          <w:rFonts w:ascii="Times New Roman" w:hAnsi="Times New Roman" w:cs="Times New Roman"/>
          <w:b/>
          <w:sz w:val="32"/>
          <w:szCs w:val="32"/>
        </w:rPr>
        <w:t>Зонне</w:t>
      </w:r>
      <w:proofErr w:type="spellEnd"/>
      <w:r w:rsidRPr="00E11764">
        <w:rPr>
          <w:rFonts w:ascii="Times New Roman" w:hAnsi="Times New Roman" w:cs="Times New Roman"/>
          <w:b/>
          <w:sz w:val="32"/>
          <w:szCs w:val="32"/>
        </w:rPr>
        <w:t xml:space="preserve"> и </w:t>
      </w:r>
      <w:proofErr w:type="spellStart"/>
      <w:r w:rsidRPr="00E11764">
        <w:rPr>
          <w:rFonts w:ascii="Times New Roman" w:hAnsi="Times New Roman" w:cs="Times New Roman"/>
          <w:b/>
          <w:sz w:val="32"/>
          <w:szCs w:val="32"/>
        </w:rPr>
        <w:t>Флекснера</w:t>
      </w:r>
      <w:proofErr w:type="spellEnd"/>
      <w:r w:rsidRPr="00E11764">
        <w:rPr>
          <w:rFonts w:ascii="Times New Roman" w:hAnsi="Times New Roman" w:cs="Times New Roman"/>
          <w:b/>
          <w:sz w:val="32"/>
          <w:szCs w:val="32"/>
        </w:rPr>
        <w:t xml:space="preserve"> среди различных возрастных групп населения России с 1997 по 2003гг. (на 100000 населения).</w:t>
      </w:r>
    </w:p>
    <w:p w:rsidR="00E11764" w:rsidRPr="00E11764" w:rsidRDefault="00E11764">
      <w:pPr>
        <w:rPr>
          <w:rFonts w:ascii="Times New Roman" w:hAnsi="Times New Roman" w:cs="Times New Roman"/>
          <w:b/>
          <w:sz w:val="32"/>
          <w:szCs w:val="32"/>
        </w:rPr>
      </w:pPr>
    </w:p>
    <w:p w:rsidR="00E11764" w:rsidRPr="00E11764" w:rsidRDefault="00E11764">
      <w:pPr>
        <w:rPr>
          <w:rFonts w:ascii="Times New Roman" w:hAnsi="Times New Roman" w:cs="Times New Roman"/>
        </w:rPr>
      </w:pPr>
    </w:p>
    <w:p w:rsidR="00E11764" w:rsidRDefault="005D2626">
      <w:pPr>
        <w:rPr>
          <w:rFonts w:ascii="Times New Roman" w:hAnsi="Times New Roman" w:cs="Times New Roman"/>
        </w:rPr>
      </w:pPr>
      <w:r w:rsidRPr="005D2626">
        <w:rPr>
          <w:rFonts w:ascii="Times New Roman" w:hAnsi="Times New Roman" w:cs="Times New Roman"/>
        </w:rPr>
        <w:drawing>
          <wp:inline distT="0" distB="0" distL="0" distR="0">
            <wp:extent cx="5940425" cy="3960283"/>
            <wp:effectExtent l="19050" t="0" r="22225" b="2117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11764" w:rsidRPr="00E11764" w:rsidRDefault="00E11764">
      <w:pPr>
        <w:rPr>
          <w:rFonts w:ascii="Times New Roman" w:hAnsi="Times New Roman" w:cs="Times New Roman"/>
        </w:rPr>
      </w:pPr>
    </w:p>
    <w:p w:rsidR="00E11764" w:rsidRPr="00E11764" w:rsidRDefault="00E11764">
      <w:pPr>
        <w:rPr>
          <w:rFonts w:ascii="Times New Roman" w:hAnsi="Times New Roman" w:cs="Times New Roman"/>
        </w:rPr>
      </w:pPr>
    </w:p>
    <w:p w:rsidR="00E11764" w:rsidRDefault="00E11764" w:rsidP="00E11764">
      <w:pPr>
        <w:spacing w:after="0" w:line="240" w:lineRule="auto"/>
        <w:textAlignment w:val="baseline"/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</w:pPr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Вопросы к задаче:</w:t>
      </w:r>
      <w:r w:rsidRPr="00E11764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E11764" w:rsidRPr="00E11764" w:rsidRDefault="00E11764" w:rsidP="00E1176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764" w:rsidRPr="00E11764" w:rsidRDefault="00E11764" w:rsidP="00E11764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1) Проанализируйте динамику заболеваемости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шигеллезами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Зонне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Флекснера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среди населения России.</w:t>
      </w:r>
      <w:r w:rsidRPr="00E11764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E11764" w:rsidRPr="00E11764" w:rsidRDefault="00E11764" w:rsidP="00E11764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2) Охарактеризуйте возрастную динамику заболеваемости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шигеллезами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Зонне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Флекснера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среди населения России.</w:t>
      </w:r>
      <w:r w:rsidRPr="00E11764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E11764" w:rsidRPr="00E11764" w:rsidRDefault="00E11764" w:rsidP="00E11764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3) Оцените соотношение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шигеллезов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Зонне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</w:t>
      </w:r>
      <w:proofErr w:type="spellStart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Флекснера</w:t>
      </w:r>
      <w:proofErr w:type="spellEnd"/>
      <w:r w:rsidRPr="00E11764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.</w:t>
      </w:r>
      <w:r w:rsidRPr="00E11764">
        <w:rPr>
          <w:rFonts w:ascii="Arial" w:eastAsia="+mn-ea" w:hAnsi="Arial" w:cs="+mn-cs"/>
          <w:color w:val="000000"/>
          <w:kern w:val="24"/>
          <w:sz w:val="36"/>
          <w:szCs w:val="36"/>
          <w:lang w:eastAsia="ru-RU"/>
        </w:rPr>
        <w:t xml:space="preserve"> </w:t>
      </w:r>
    </w:p>
    <w:p w:rsidR="00E11764" w:rsidRPr="00E11764" w:rsidRDefault="00E11764" w:rsidP="00E11764">
      <w:pPr>
        <w:rPr>
          <w:rFonts w:ascii="Times New Roman" w:hAnsi="Times New Roman" w:cs="Times New Roman"/>
          <w:sz w:val="28"/>
          <w:szCs w:val="28"/>
        </w:rPr>
      </w:pPr>
    </w:p>
    <w:sectPr w:rsidR="00E11764" w:rsidRPr="00E11764" w:rsidSect="00EB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841AF"/>
    <w:multiLevelType w:val="hybridMultilevel"/>
    <w:tmpl w:val="FDD21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764"/>
    <w:rsid w:val="00176210"/>
    <w:rsid w:val="005D2626"/>
    <w:rsid w:val="00A6153B"/>
    <w:rsid w:val="00E11764"/>
    <w:rsid w:val="00EB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(шигеллезы)</c:v>
                </c:pt>
              </c:strCache>
            </c:strRef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35</c:v>
              </c:pt>
              <c:pt idx="1">
                <c:v>70</c:v>
              </c:pt>
              <c:pt idx="2">
                <c:v>120</c:v>
              </c:pt>
              <c:pt idx="3">
                <c:v>95</c:v>
              </c:pt>
              <c:pt idx="4">
                <c:v>60</c:v>
              </c:pt>
              <c:pt idx="5">
                <c:v>45</c:v>
              </c:pt>
              <c:pt idx="6">
                <c:v>40</c:v>
              </c:pt>
            </c:numLit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дети до 1 года</c:v>
                </c:pt>
              </c:strCache>
            </c:strRef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180</c:v>
              </c:pt>
              <c:pt idx="1">
                <c:v>215</c:v>
              </c:pt>
              <c:pt idx="2">
                <c:v>315</c:v>
              </c:pt>
              <c:pt idx="3">
                <c:v>280</c:v>
              </c:pt>
              <c:pt idx="4">
                <c:v>215</c:v>
              </c:pt>
              <c:pt idx="5">
                <c:v>180</c:v>
              </c:pt>
              <c:pt idx="6">
                <c:v>140</c:v>
              </c:pt>
            </c:numLit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 1 до 2 лет</c:v>
                </c:pt>
              </c:strCache>
            </c:strRef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230</c:v>
              </c:pt>
              <c:pt idx="1">
                <c:v>350</c:v>
              </c:pt>
              <c:pt idx="2">
                <c:v>620</c:v>
              </c:pt>
              <c:pt idx="3">
                <c:v>540</c:v>
              </c:pt>
              <c:pt idx="4">
                <c:v>340</c:v>
              </c:pt>
              <c:pt idx="5">
                <c:v>270</c:v>
              </c:pt>
              <c:pt idx="6">
                <c:v>230</c:v>
              </c:pt>
            </c:numLit>
          </c:val>
        </c:ser>
        <c:ser>
          <c:idx val="3"/>
          <c:order val="3"/>
          <c:tx>
            <c:v>от 3 до 6 лет</c:v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180</c:v>
              </c:pt>
              <c:pt idx="1">
                <c:v>280</c:v>
              </c:pt>
              <c:pt idx="2">
                <c:v>590</c:v>
              </c:pt>
              <c:pt idx="3">
                <c:v>500</c:v>
              </c:pt>
              <c:pt idx="4">
                <c:v>270</c:v>
              </c:pt>
              <c:pt idx="5">
                <c:v>180</c:v>
              </c:pt>
              <c:pt idx="6">
                <c:v>170</c:v>
              </c:pt>
            </c:numLit>
          </c:val>
        </c:ser>
        <c:ser>
          <c:idx val="4"/>
          <c:order val="4"/>
          <c:tx>
            <c:v>дети 7-14 лет</c:v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70</c:v>
              </c:pt>
              <c:pt idx="1">
                <c:v>115</c:v>
              </c:pt>
              <c:pt idx="2">
                <c:v>260</c:v>
              </c:pt>
              <c:pt idx="3">
                <c:v>210</c:v>
              </c:pt>
              <c:pt idx="4">
                <c:v>110</c:v>
              </c:pt>
              <c:pt idx="5">
                <c:v>80</c:v>
              </c:pt>
              <c:pt idx="6">
                <c:v>70</c:v>
              </c:pt>
            </c:numLit>
          </c:val>
        </c:ser>
        <c:ser>
          <c:idx val="5"/>
          <c:order val="5"/>
          <c:tx>
            <c:v>до 14 лет</c:v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110</c:v>
              </c:pt>
              <c:pt idx="1">
                <c:v>180</c:v>
              </c:pt>
              <c:pt idx="2">
                <c:v>370</c:v>
              </c:pt>
              <c:pt idx="3">
                <c:v>310</c:v>
              </c:pt>
              <c:pt idx="4">
                <c:v>180</c:v>
              </c:pt>
              <c:pt idx="5">
                <c:v>120</c:v>
              </c:pt>
              <c:pt idx="6">
                <c:v>120</c:v>
              </c:pt>
            </c:numLit>
          </c:val>
        </c:ser>
        <c:ser>
          <c:idx val="6"/>
          <c:order val="6"/>
          <c:tx>
            <c:v>взрослые</c:v>
          </c:tx>
          <c:cat>
            <c:numLit>
              <c:formatCode>General</c:formatCode>
              <c:ptCount val="7"/>
              <c:pt idx="0">
                <c:v>1997</c:v>
              </c:pt>
              <c:pt idx="1">
                <c:v>1998</c:v>
              </c:pt>
              <c:pt idx="2">
                <c:v>1999</c:v>
              </c:pt>
              <c:pt idx="3">
                <c:v>2000</c:v>
              </c:pt>
              <c:pt idx="4">
                <c:v>2001</c:v>
              </c:pt>
              <c:pt idx="5">
                <c:v>2002</c:v>
              </c:pt>
              <c:pt idx="6">
                <c:v>2003</c:v>
              </c:pt>
            </c:numLit>
          </c:cat>
          <c:val>
            <c:numLit>
              <c:formatCode>General</c:formatCode>
              <c:ptCount val="7"/>
              <c:pt idx="0">
                <c:v>10</c:v>
              </c:pt>
              <c:pt idx="1">
                <c:v>25</c:v>
              </c:pt>
              <c:pt idx="2">
                <c:v>60</c:v>
              </c:pt>
              <c:pt idx="3">
                <c:v>55</c:v>
              </c:pt>
              <c:pt idx="4">
                <c:v>30</c:v>
              </c:pt>
              <c:pt idx="5">
                <c:v>25</c:v>
              </c:pt>
              <c:pt idx="6">
                <c:v>20</c:v>
              </c:pt>
            </c:numLit>
          </c:val>
        </c:ser>
        <c:axId val="123490688"/>
        <c:axId val="123492224"/>
      </c:barChart>
      <c:catAx>
        <c:axId val="123490688"/>
        <c:scaling>
          <c:orientation val="minMax"/>
        </c:scaling>
        <c:axPos val="b"/>
        <c:numFmt formatCode="General" sourceLinked="1"/>
        <c:tickLblPos val="nextTo"/>
        <c:crossAx val="123492224"/>
        <c:crosses val="autoZero"/>
        <c:auto val="1"/>
        <c:lblAlgn val="ctr"/>
        <c:lblOffset val="100"/>
      </c:catAx>
      <c:valAx>
        <c:axId val="123492224"/>
        <c:scaling>
          <c:orientation val="minMax"/>
        </c:scaling>
        <c:axPos val="l"/>
        <c:majorGridlines/>
        <c:numFmt formatCode="General" sourceLinked="1"/>
        <c:tickLblPos val="nextTo"/>
        <c:crossAx val="123490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49635826771653"/>
          <c:y val="3.5840059055118112E-2"/>
          <c:w val="0.28253641732283497"/>
          <c:h val="0.95644488188976351"/>
        </c:manualLayout>
      </c:layout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2013-04-18T12:49:00Z</dcterms:created>
  <dcterms:modified xsi:type="dcterms:W3CDTF">2013-04-18T13:40:00Z</dcterms:modified>
</cp:coreProperties>
</file>