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FF" w:rsidRDefault="00117A1B" w:rsidP="000658FF">
      <w:pPr>
        <w:spacing w:after="5" w:line="271" w:lineRule="auto"/>
        <w:jc w:val="center"/>
        <w:rPr>
          <w:rFonts w:eastAsia="Times New Roman"/>
          <w:b/>
        </w:rPr>
      </w:pPr>
      <w:r>
        <w:rPr>
          <w:rFonts w:eastAsia="Times New Roman"/>
          <w:b/>
        </w:rPr>
        <w:t>Критерии оценивания результатов обучения по дисциплине</w:t>
      </w:r>
    </w:p>
    <w:p w:rsidR="00117A1B" w:rsidRDefault="00117A1B" w:rsidP="000658FF">
      <w:pPr>
        <w:spacing w:after="5" w:line="271" w:lineRule="auto"/>
        <w:jc w:val="center"/>
      </w:pPr>
      <w:r>
        <w:rPr>
          <w:rFonts w:eastAsia="Times New Roman"/>
          <w:b/>
        </w:rPr>
        <w:t>«</w:t>
      </w:r>
      <w:r w:rsidR="000D26DD">
        <w:rPr>
          <w:rFonts w:eastAsia="Times New Roman"/>
          <w:b/>
        </w:rPr>
        <w:t xml:space="preserve">Онкология </w:t>
      </w:r>
      <w:r w:rsidR="004802E9">
        <w:rPr>
          <w:rFonts w:eastAsia="Times New Roman"/>
          <w:b/>
        </w:rPr>
        <w:t>детского возраста</w:t>
      </w:r>
      <w:r>
        <w:rPr>
          <w:rFonts w:eastAsia="Times New Roman"/>
          <w:b/>
        </w:rPr>
        <w:t>»</w:t>
      </w:r>
    </w:p>
    <w:p w:rsidR="000D26DD" w:rsidRDefault="000D26DD" w:rsidP="000658FF">
      <w:pPr>
        <w:spacing w:after="5" w:line="352" w:lineRule="auto"/>
        <w:ind w:right="242"/>
        <w:jc w:val="center"/>
        <w:rPr>
          <w:rFonts w:eastAsia="Times New Roman"/>
          <w:b/>
        </w:rPr>
      </w:pPr>
    </w:p>
    <w:p w:rsidR="004802E9" w:rsidRPr="004802E9" w:rsidRDefault="004802E9" w:rsidP="004802E9">
      <w:pPr>
        <w:pStyle w:val="2"/>
        <w:ind w:right="-2"/>
        <w:rPr>
          <w:rFonts w:ascii="Times New Roman" w:hAnsi="Times New Roman" w:cs="Times New Roman"/>
          <w:b/>
          <w:color w:val="000000" w:themeColor="text1"/>
          <w:sz w:val="24"/>
          <w:szCs w:val="24"/>
        </w:rPr>
      </w:pPr>
      <w:r w:rsidRPr="004802E9">
        <w:rPr>
          <w:rFonts w:ascii="Times New Roman" w:hAnsi="Times New Roman" w:cs="Times New Roman"/>
          <w:b/>
          <w:color w:val="000000" w:themeColor="text1"/>
          <w:sz w:val="24"/>
          <w:szCs w:val="24"/>
        </w:rPr>
        <w:t>Критерии оценки результатов обучения</w:t>
      </w:r>
      <w:r w:rsidRPr="004802E9">
        <w:rPr>
          <w:rFonts w:ascii="Times New Roman" w:eastAsia="Times New Roman" w:hAnsi="Times New Roman" w:cs="Times New Roman"/>
          <w:b/>
          <w:color w:val="000000" w:themeColor="text1"/>
          <w:sz w:val="24"/>
          <w:szCs w:val="24"/>
        </w:rPr>
        <w:t xml:space="preserve"> </w:t>
      </w:r>
    </w:p>
    <w:p w:rsidR="004802E9" w:rsidRDefault="004802E9" w:rsidP="004802E9">
      <w:pPr>
        <w:ind w:right="-2"/>
      </w:pPr>
    </w:p>
    <w:p w:rsidR="004802E9" w:rsidRDefault="004802E9" w:rsidP="004802E9">
      <w:pPr>
        <w:ind w:right="-2"/>
      </w:pPr>
      <w:r>
        <w:t xml:space="preserve">Основой для определения уровня знаний, умений, навыков являются критерии оценивания – полнота и правильность: </w:t>
      </w:r>
    </w:p>
    <w:p w:rsidR="004802E9" w:rsidRDefault="004802E9" w:rsidP="004802E9">
      <w:pPr>
        <w:numPr>
          <w:ilvl w:val="0"/>
          <w:numId w:val="4"/>
        </w:numPr>
        <w:spacing w:after="14" w:line="268" w:lineRule="auto"/>
        <w:ind w:left="0" w:right="-2" w:hanging="139"/>
        <w:jc w:val="both"/>
      </w:pPr>
      <w:r>
        <w:t xml:space="preserve">правильный, точный ответ </w:t>
      </w:r>
    </w:p>
    <w:p w:rsidR="004802E9" w:rsidRDefault="004802E9" w:rsidP="004802E9">
      <w:pPr>
        <w:numPr>
          <w:ilvl w:val="0"/>
          <w:numId w:val="4"/>
        </w:numPr>
        <w:spacing w:after="10" w:line="268" w:lineRule="auto"/>
        <w:ind w:left="0" w:right="-2" w:hanging="139"/>
        <w:jc w:val="both"/>
      </w:pPr>
      <w:r>
        <w:t xml:space="preserve">правильный, но не полный или неточный ответ - неправильный ответ - нет ответа. </w:t>
      </w:r>
    </w:p>
    <w:p w:rsidR="004802E9" w:rsidRPr="004802E9" w:rsidRDefault="004802E9" w:rsidP="004802E9">
      <w:pPr>
        <w:ind w:right="-2"/>
        <w:rPr>
          <w:sz w:val="16"/>
          <w:szCs w:val="16"/>
        </w:rPr>
      </w:pPr>
    </w:p>
    <w:p w:rsidR="004802E9" w:rsidRDefault="004802E9" w:rsidP="004802E9">
      <w:pPr>
        <w:ind w:right="-2"/>
      </w:pPr>
      <w:r>
        <w:t xml:space="preserve">При выставлении оценок учитывается классификации ошибок и их качество: </w:t>
      </w:r>
    </w:p>
    <w:p w:rsidR="004802E9" w:rsidRDefault="004802E9" w:rsidP="004802E9">
      <w:pPr>
        <w:numPr>
          <w:ilvl w:val="0"/>
          <w:numId w:val="4"/>
        </w:numPr>
        <w:spacing w:after="14" w:line="268" w:lineRule="auto"/>
        <w:ind w:left="0" w:right="-2" w:hanging="139"/>
        <w:jc w:val="both"/>
      </w:pPr>
      <w:r>
        <w:t xml:space="preserve">грубые ошибки </w:t>
      </w:r>
    </w:p>
    <w:p w:rsidR="004802E9" w:rsidRDefault="004802E9" w:rsidP="004802E9">
      <w:pPr>
        <w:numPr>
          <w:ilvl w:val="0"/>
          <w:numId w:val="4"/>
        </w:numPr>
        <w:spacing w:after="14" w:line="268" w:lineRule="auto"/>
        <w:ind w:left="0" w:right="-2" w:hanging="139"/>
        <w:jc w:val="both"/>
      </w:pPr>
      <w:r>
        <w:t xml:space="preserve">однотипные ошибки - негрубые ошибки </w:t>
      </w:r>
    </w:p>
    <w:p w:rsidR="004802E9" w:rsidRDefault="004802E9" w:rsidP="004802E9">
      <w:pPr>
        <w:numPr>
          <w:ilvl w:val="0"/>
          <w:numId w:val="4"/>
        </w:numPr>
        <w:spacing w:after="14" w:line="268" w:lineRule="auto"/>
        <w:ind w:left="0" w:right="-2" w:hanging="139"/>
        <w:jc w:val="both"/>
      </w:pPr>
      <w:r>
        <w:t xml:space="preserve">недочёты. </w:t>
      </w:r>
    </w:p>
    <w:p w:rsidR="004802E9" w:rsidRDefault="004802E9" w:rsidP="004802E9">
      <w:pPr>
        <w:spacing w:after="23" w:line="259" w:lineRule="auto"/>
        <w:ind w:left="62"/>
        <w:jc w:val="center"/>
      </w:pPr>
      <w:r>
        <w:rPr>
          <w:rFonts w:eastAsia="Times New Roman"/>
          <w:b/>
        </w:rPr>
        <w:t xml:space="preserve"> </w:t>
      </w:r>
    </w:p>
    <w:p w:rsidR="004802E9" w:rsidRDefault="004802E9" w:rsidP="004802E9">
      <w:pPr>
        <w:spacing w:line="259" w:lineRule="auto"/>
        <w:ind w:right="2"/>
        <w:jc w:val="center"/>
        <w:rPr>
          <w:rFonts w:eastAsia="Times New Roman"/>
          <w:b/>
        </w:rPr>
      </w:pPr>
      <w:r>
        <w:rPr>
          <w:rFonts w:eastAsia="Times New Roman"/>
          <w:b/>
        </w:rPr>
        <w:t>Распределение оценок на практических занятиях (XII) семестр</w:t>
      </w:r>
    </w:p>
    <w:p w:rsidR="004802E9" w:rsidRPr="004802E9" w:rsidRDefault="004802E9" w:rsidP="004802E9">
      <w:pPr>
        <w:spacing w:line="259" w:lineRule="auto"/>
        <w:ind w:right="2"/>
        <w:jc w:val="center"/>
        <w:rPr>
          <w:sz w:val="16"/>
          <w:szCs w:val="16"/>
        </w:rPr>
      </w:pPr>
      <w:r w:rsidRPr="004802E9">
        <w:rPr>
          <w:sz w:val="16"/>
          <w:szCs w:val="16"/>
        </w:rPr>
        <w:t xml:space="preserve"> </w:t>
      </w:r>
    </w:p>
    <w:tbl>
      <w:tblPr>
        <w:tblStyle w:val="TableGrid"/>
        <w:tblW w:w="9356" w:type="dxa"/>
        <w:tblInd w:w="-5" w:type="dxa"/>
        <w:tblLayout w:type="fixed"/>
        <w:tblCellMar>
          <w:top w:w="9" w:type="dxa"/>
          <w:left w:w="108" w:type="dxa"/>
          <w:right w:w="62" w:type="dxa"/>
        </w:tblCellMar>
        <w:tblLook w:val="04A0" w:firstRow="1" w:lastRow="0" w:firstColumn="1" w:lastColumn="0" w:noHBand="0" w:noVBand="1"/>
      </w:tblPr>
      <w:tblGrid>
        <w:gridCol w:w="526"/>
        <w:gridCol w:w="2451"/>
        <w:gridCol w:w="1769"/>
        <w:gridCol w:w="1633"/>
        <w:gridCol w:w="992"/>
        <w:gridCol w:w="1985"/>
      </w:tblGrid>
      <w:tr w:rsidR="004802E9" w:rsidTr="004802E9">
        <w:trPr>
          <w:trHeight w:val="1114"/>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38"/>
              <w:jc w:val="center"/>
            </w:pPr>
            <w:r>
              <w:t xml:space="preserve">№ п/ п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Тема практического занятия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right="17"/>
              <w:jc w:val="center"/>
            </w:pPr>
            <w:r>
              <w:t xml:space="preserve">Теоретическая часть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right="18"/>
              <w:jc w:val="center"/>
            </w:pPr>
            <w:r>
              <w:t xml:space="preserve">Практическая часть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38" w:lineRule="auto"/>
              <w:ind w:right="36"/>
              <w:jc w:val="center"/>
            </w:pPr>
            <w:r>
              <w:t xml:space="preserve">Общая </w:t>
            </w:r>
          </w:p>
          <w:p w:rsidR="004802E9" w:rsidRDefault="004802E9" w:rsidP="004802E9">
            <w:pPr>
              <w:spacing w:line="259" w:lineRule="auto"/>
              <w:ind w:right="28"/>
              <w:jc w:val="center"/>
            </w:pPr>
            <w:r>
              <w:t xml:space="preserve">оценка </w:t>
            </w:r>
          </w:p>
        </w:tc>
        <w:tc>
          <w:tcPr>
            <w:tcW w:w="198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Формы контроля </w:t>
            </w:r>
          </w:p>
        </w:tc>
      </w:tr>
      <w:tr w:rsidR="004802E9" w:rsidTr="004802E9">
        <w:trPr>
          <w:trHeight w:val="3046"/>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1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38" w:lineRule="auto"/>
              <w:ind w:left="22" w:right="10"/>
              <w:jc w:val="center"/>
            </w:pPr>
            <w:r>
              <w:t>Современное состояние, проблемы и перспективы развития онкологии. Организация онкологической</w:t>
            </w:r>
          </w:p>
          <w:p w:rsidR="004802E9" w:rsidRDefault="004802E9" w:rsidP="004802E9">
            <w:pPr>
              <w:spacing w:line="259" w:lineRule="auto"/>
              <w:ind w:left="17"/>
              <w:jc w:val="center"/>
            </w:pPr>
            <w:r>
              <w:t>помощи. Предраковые</w:t>
            </w:r>
          </w:p>
          <w:p w:rsidR="004802E9" w:rsidRDefault="004802E9" w:rsidP="004802E9">
            <w:pPr>
              <w:spacing w:line="238" w:lineRule="auto"/>
              <w:jc w:val="center"/>
            </w:pPr>
            <w:r>
              <w:t>заболевания. Методы диагностики</w:t>
            </w:r>
          </w:p>
          <w:p w:rsidR="004802E9" w:rsidRDefault="004802E9" w:rsidP="004802E9">
            <w:pPr>
              <w:spacing w:line="259" w:lineRule="auto"/>
              <w:jc w:val="center"/>
            </w:pPr>
            <w:r>
              <w:t>злокачественных опухолей</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val="restart"/>
            <w:tcBorders>
              <w:top w:val="single" w:sz="4" w:space="0" w:color="000000"/>
              <w:left w:val="single" w:sz="4" w:space="0" w:color="000000"/>
              <w:bottom w:val="nil"/>
              <w:right w:val="single" w:sz="4" w:space="0" w:color="000000"/>
            </w:tcBorders>
          </w:tcPr>
          <w:p w:rsidR="004802E9" w:rsidRPr="004802E9" w:rsidRDefault="004802E9" w:rsidP="004802E9">
            <w:pPr>
              <w:spacing w:line="245" w:lineRule="auto"/>
              <w:ind w:right="49"/>
              <w:rPr>
                <w:sz w:val="22"/>
                <w:szCs w:val="22"/>
              </w:rPr>
            </w:pPr>
            <w:r w:rsidRPr="004802E9">
              <w:rPr>
                <w:rFonts w:eastAsia="Times New Roman"/>
                <w:b/>
                <w:sz w:val="22"/>
                <w:szCs w:val="22"/>
              </w:rPr>
              <w:t>Теоретическая часть</w:t>
            </w:r>
            <w:r w:rsidRPr="004802E9">
              <w:rPr>
                <w:sz w:val="22"/>
                <w:szCs w:val="22"/>
              </w:rPr>
              <w:t xml:space="preserve">: устный или письменный опрос, тестовые задания, в том числе компьютерные. </w:t>
            </w:r>
          </w:p>
          <w:p w:rsidR="004802E9" w:rsidRPr="004802E9" w:rsidRDefault="004802E9" w:rsidP="004802E9">
            <w:pPr>
              <w:spacing w:line="259" w:lineRule="auto"/>
              <w:rPr>
                <w:sz w:val="22"/>
                <w:szCs w:val="22"/>
              </w:rPr>
            </w:pPr>
            <w:r w:rsidRPr="004802E9">
              <w:rPr>
                <w:sz w:val="22"/>
                <w:szCs w:val="22"/>
              </w:rPr>
              <w:t xml:space="preserve"> </w:t>
            </w:r>
          </w:p>
          <w:p w:rsidR="004802E9" w:rsidRPr="004802E9" w:rsidRDefault="004802E9" w:rsidP="004802E9">
            <w:pPr>
              <w:spacing w:line="280" w:lineRule="auto"/>
              <w:rPr>
                <w:sz w:val="22"/>
                <w:szCs w:val="22"/>
              </w:rPr>
            </w:pPr>
            <w:r w:rsidRPr="004802E9">
              <w:rPr>
                <w:rFonts w:eastAsia="Times New Roman"/>
                <w:b/>
                <w:sz w:val="22"/>
                <w:szCs w:val="22"/>
              </w:rPr>
              <w:t xml:space="preserve">Практическая часть: </w:t>
            </w:r>
          </w:p>
          <w:p w:rsidR="004802E9" w:rsidRPr="004802E9" w:rsidRDefault="004802E9" w:rsidP="004802E9">
            <w:pPr>
              <w:spacing w:line="239" w:lineRule="auto"/>
              <w:ind w:right="50"/>
              <w:rPr>
                <w:sz w:val="22"/>
                <w:szCs w:val="22"/>
              </w:rPr>
            </w:pPr>
            <w:r w:rsidRPr="004802E9">
              <w:rPr>
                <w:sz w:val="22"/>
                <w:szCs w:val="22"/>
              </w:rPr>
              <w:t xml:space="preserve">Собеседование по ситуационным задачам, учебному дежурству, проверка практических умений у постели больного, </w:t>
            </w:r>
          </w:p>
          <w:p w:rsidR="004802E9" w:rsidRPr="004802E9" w:rsidRDefault="004802E9" w:rsidP="004802E9">
            <w:pPr>
              <w:spacing w:after="18" w:line="246" w:lineRule="auto"/>
              <w:rPr>
                <w:sz w:val="22"/>
                <w:szCs w:val="22"/>
              </w:rPr>
            </w:pPr>
            <w:r w:rsidRPr="004802E9">
              <w:rPr>
                <w:sz w:val="22"/>
                <w:szCs w:val="22"/>
              </w:rPr>
              <w:t>симуляционном классе, оформление учебной истории болезни и умения работать</w:t>
            </w:r>
            <w:r>
              <w:rPr>
                <w:sz w:val="22"/>
                <w:szCs w:val="22"/>
              </w:rPr>
              <w:t xml:space="preserve"> </w:t>
            </w:r>
            <w:r w:rsidRPr="004802E9">
              <w:rPr>
                <w:sz w:val="22"/>
                <w:szCs w:val="22"/>
              </w:rPr>
              <w:t xml:space="preserve">с регламентирующи м материалом и документами; выполнение </w:t>
            </w:r>
          </w:p>
          <w:p w:rsidR="004802E9" w:rsidRPr="004802E9" w:rsidRDefault="004802E9" w:rsidP="004802E9">
            <w:pPr>
              <w:tabs>
                <w:tab w:val="right" w:pos="1686"/>
              </w:tabs>
              <w:spacing w:after="23" w:line="259" w:lineRule="auto"/>
              <w:rPr>
                <w:sz w:val="22"/>
                <w:szCs w:val="22"/>
              </w:rPr>
            </w:pPr>
            <w:r w:rsidRPr="004802E9">
              <w:rPr>
                <w:sz w:val="22"/>
                <w:szCs w:val="22"/>
              </w:rPr>
              <w:t xml:space="preserve">упражнений по </w:t>
            </w:r>
          </w:p>
          <w:p w:rsidR="004802E9" w:rsidRDefault="004802E9" w:rsidP="004802E9">
            <w:pPr>
              <w:spacing w:line="259" w:lineRule="auto"/>
            </w:pPr>
            <w:r w:rsidRPr="004802E9">
              <w:rPr>
                <w:sz w:val="22"/>
                <w:szCs w:val="22"/>
              </w:rPr>
              <w:t>образцу</w:t>
            </w:r>
            <w:r>
              <w:rPr>
                <w:sz w:val="20"/>
              </w:rPr>
              <w:t xml:space="preserve"> </w:t>
            </w:r>
          </w:p>
        </w:tc>
      </w:tr>
      <w:tr w:rsidR="004802E9" w:rsidTr="004802E9">
        <w:trPr>
          <w:trHeight w:val="838"/>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2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Принципы лечения злокачественных опухолей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tcPr>
          <w:p w:rsidR="004802E9" w:rsidRDefault="004802E9" w:rsidP="0071473B">
            <w:pPr>
              <w:spacing w:after="160" w:line="259" w:lineRule="auto"/>
            </w:pPr>
          </w:p>
        </w:tc>
      </w:tr>
      <w:tr w:rsidR="004802E9" w:rsidTr="004802E9">
        <w:trPr>
          <w:trHeight w:val="562"/>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3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jc w:val="center"/>
            </w:pPr>
            <w:r>
              <w:t xml:space="preserve">Опухоли кожи. </w:t>
            </w:r>
          </w:p>
          <w:p w:rsidR="004802E9" w:rsidRDefault="004802E9" w:rsidP="0071473B">
            <w:pPr>
              <w:spacing w:line="259" w:lineRule="auto"/>
              <w:jc w:val="center"/>
            </w:pPr>
            <w:r>
              <w:t xml:space="preserve">Рак и меланома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rPr>
                <w:rFonts w:eastAsia="Times New Roman"/>
                <w:b/>
              </w:rP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tcPr>
          <w:p w:rsidR="004802E9" w:rsidRDefault="004802E9" w:rsidP="0071473B">
            <w:pPr>
              <w:spacing w:after="160" w:line="259" w:lineRule="auto"/>
            </w:pPr>
          </w:p>
        </w:tc>
      </w:tr>
      <w:tr w:rsidR="004802E9" w:rsidTr="004802E9">
        <w:trPr>
          <w:trHeight w:val="838"/>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4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firstLine="21"/>
              <w:jc w:val="center"/>
            </w:pPr>
            <w:r>
              <w:t xml:space="preserve">Предраковые заболевания и рак молочной железы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rPr>
                <w:rFonts w:eastAsia="Times New Roman"/>
                <w:b/>
              </w:rP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vAlign w:val="center"/>
          </w:tcPr>
          <w:p w:rsidR="004802E9" w:rsidRDefault="004802E9" w:rsidP="0071473B">
            <w:pPr>
              <w:spacing w:after="160" w:line="259" w:lineRule="auto"/>
            </w:pPr>
          </w:p>
        </w:tc>
      </w:tr>
      <w:tr w:rsidR="004802E9" w:rsidTr="004802E9">
        <w:trPr>
          <w:trHeight w:val="416"/>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5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Лимфомы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left="6"/>
              <w:jc w:val="center"/>
            </w:pPr>
            <w:r>
              <w:rPr>
                <w:rFonts w:eastAsia="Times New Roman"/>
                <w:b/>
              </w:rPr>
              <w:t xml:space="preserve"> </w:t>
            </w: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left="12"/>
              <w:jc w:val="center"/>
            </w:pPr>
            <w:r>
              <w:rPr>
                <w:rFonts w:eastAsia="Times New Roman"/>
                <w:b/>
              </w:rPr>
              <w:t xml:space="preserve"> </w:t>
            </w: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4802E9">
            <w:pPr>
              <w:spacing w:line="259" w:lineRule="auto"/>
              <w:ind w:left="16"/>
              <w:jc w:val="center"/>
            </w:pPr>
            <w:r>
              <w:rPr>
                <w:rFonts w:eastAsia="Times New Roman"/>
                <w:b/>
              </w:rPr>
              <w:t xml:space="preserve"> </w:t>
            </w:r>
            <w:r>
              <w:t xml:space="preserve">2-5 </w:t>
            </w:r>
          </w:p>
        </w:tc>
        <w:tc>
          <w:tcPr>
            <w:tcW w:w="1985" w:type="dxa"/>
            <w:vMerge/>
            <w:tcBorders>
              <w:top w:val="nil"/>
              <w:left w:val="single" w:sz="4" w:space="0" w:color="000000"/>
              <w:bottom w:val="nil"/>
              <w:right w:val="single" w:sz="4" w:space="0" w:color="000000"/>
            </w:tcBorders>
            <w:vAlign w:val="center"/>
          </w:tcPr>
          <w:p w:rsidR="004802E9" w:rsidRDefault="004802E9" w:rsidP="0071473B">
            <w:pPr>
              <w:spacing w:after="160" w:line="259" w:lineRule="auto"/>
            </w:pPr>
          </w:p>
        </w:tc>
      </w:tr>
      <w:tr w:rsidR="004802E9" w:rsidTr="00715991">
        <w:trPr>
          <w:trHeight w:val="1240"/>
        </w:trPr>
        <w:tc>
          <w:tcPr>
            <w:tcW w:w="526"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9"/>
              <w:jc w:val="center"/>
            </w:pPr>
            <w:r>
              <w:t xml:space="preserve">6 </w:t>
            </w:r>
          </w:p>
        </w:tc>
        <w:tc>
          <w:tcPr>
            <w:tcW w:w="2451"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firstLine="11"/>
              <w:jc w:val="center"/>
            </w:pPr>
            <w:r>
              <w:t xml:space="preserve">Физические и биологические основы ядерной медицины </w:t>
            </w:r>
          </w:p>
        </w:tc>
        <w:tc>
          <w:tcPr>
            <w:tcW w:w="1769"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6"/>
              <w:jc w:val="center"/>
            </w:pPr>
            <w:r>
              <w:rPr>
                <w:rFonts w:eastAsia="Times New Roman"/>
                <w:b/>
              </w:rPr>
              <w:t xml:space="preserve"> </w:t>
            </w:r>
          </w:p>
          <w:p w:rsidR="004802E9" w:rsidRDefault="004802E9" w:rsidP="0071473B">
            <w:pPr>
              <w:spacing w:line="259" w:lineRule="auto"/>
              <w:ind w:right="51"/>
              <w:jc w:val="center"/>
            </w:pPr>
            <w:r>
              <w:t xml:space="preserve">2-5 </w:t>
            </w:r>
          </w:p>
        </w:tc>
        <w:tc>
          <w:tcPr>
            <w:tcW w:w="1633"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2"/>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992"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16"/>
              <w:jc w:val="center"/>
            </w:pPr>
            <w:r>
              <w:rPr>
                <w:rFonts w:eastAsia="Times New Roman"/>
                <w:b/>
              </w:rPr>
              <w:t xml:space="preserve"> </w:t>
            </w:r>
          </w:p>
          <w:p w:rsidR="004802E9" w:rsidRDefault="004802E9" w:rsidP="0071473B">
            <w:pPr>
              <w:spacing w:line="259" w:lineRule="auto"/>
              <w:ind w:right="46"/>
              <w:jc w:val="center"/>
            </w:pPr>
            <w:r>
              <w:t xml:space="preserve">2-5 </w:t>
            </w:r>
          </w:p>
        </w:tc>
        <w:tc>
          <w:tcPr>
            <w:tcW w:w="1985" w:type="dxa"/>
            <w:vMerge/>
            <w:tcBorders>
              <w:top w:val="nil"/>
              <w:left w:val="single" w:sz="4" w:space="0" w:color="000000"/>
              <w:bottom w:val="nil"/>
              <w:right w:val="single" w:sz="4" w:space="0" w:color="000000"/>
            </w:tcBorders>
            <w:vAlign w:val="center"/>
          </w:tcPr>
          <w:p w:rsidR="004802E9" w:rsidRDefault="004802E9" w:rsidP="0071473B">
            <w:pPr>
              <w:spacing w:after="160" w:line="259" w:lineRule="auto"/>
            </w:pPr>
          </w:p>
        </w:tc>
      </w:tr>
      <w:tr w:rsidR="004802E9" w:rsidTr="004802E9">
        <w:trPr>
          <w:trHeight w:val="577"/>
        </w:trPr>
        <w:tc>
          <w:tcPr>
            <w:tcW w:w="526"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49"/>
            </w:pPr>
            <w:r>
              <w:t xml:space="preserve">7 </w:t>
            </w:r>
          </w:p>
        </w:tc>
        <w:tc>
          <w:tcPr>
            <w:tcW w:w="2451" w:type="dxa"/>
            <w:tcBorders>
              <w:top w:val="nil"/>
              <w:left w:val="single" w:sz="4" w:space="0" w:color="000000"/>
              <w:bottom w:val="single" w:sz="4" w:space="0" w:color="000000"/>
              <w:right w:val="single" w:sz="4" w:space="0" w:color="000000"/>
            </w:tcBorders>
          </w:tcPr>
          <w:p w:rsidR="004802E9" w:rsidRDefault="004802E9" w:rsidP="004802E9">
            <w:pPr>
              <w:spacing w:line="278" w:lineRule="auto"/>
            </w:pPr>
            <w:r>
              <w:t xml:space="preserve">Принципы и методы лучевой терапии </w:t>
            </w:r>
          </w:p>
        </w:tc>
        <w:tc>
          <w:tcPr>
            <w:tcW w:w="1769"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51"/>
            </w:pPr>
            <w:r>
              <w:t xml:space="preserve">2-5 </w:t>
            </w:r>
          </w:p>
        </w:tc>
        <w:tc>
          <w:tcPr>
            <w:tcW w:w="1633"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46"/>
            </w:pPr>
            <w:r>
              <w:t xml:space="preserve">2-5 </w:t>
            </w:r>
          </w:p>
        </w:tc>
        <w:tc>
          <w:tcPr>
            <w:tcW w:w="992" w:type="dxa"/>
            <w:tcBorders>
              <w:top w:val="nil"/>
              <w:left w:val="single" w:sz="4" w:space="0" w:color="000000"/>
              <w:bottom w:val="single" w:sz="4" w:space="0" w:color="000000"/>
              <w:right w:val="single" w:sz="4" w:space="0" w:color="000000"/>
            </w:tcBorders>
          </w:tcPr>
          <w:p w:rsidR="004802E9" w:rsidRDefault="004802E9" w:rsidP="004802E9">
            <w:pPr>
              <w:spacing w:line="259" w:lineRule="auto"/>
              <w:ind w:right="46"/>
            </w:pPr>
            <w:r>
              <w:t xml:space="preserve">2-5 </w:t>
            </w:r>
          </w:p>
        </w:tc>
        <w:tc>
          <w:tcPr>
            <w:tcW w:w="1985" w:type="dxa"/>
            <w:tcBorders>
              <w:top w:val="nil"/>
              <w:left w:val="single" w:sz="4" w:space="0" w:color="000000"/>
              <w:bottom w:val="single" w:sz="4" w:space="0" w:color="000000"/>
              <w:right w:val="single" w:sz="4" w:space="0" w:color="000000"/>
            </w:tcBorders>
          </w:tcPr>
          <w:p w:rsidR="004802E9" w:rsidRDefault="004802E9" w:rsidP="0071473B">
            <w:pPr>
              <w:spacing w:after="160" w:line="259" w:lineRule="auto"/>
            </w:pPr>
          </w:p>
        </w:tc>
      </w:tr>
    </w:tbl>
    <w:p w:rsidR="004802E9" w:rsidRDefault="004802E9" w:rsidP="004802E9">
      <w:pPr>
        <w:spacing w:after="18" w:line="259" w:lineRule="auto"/>
        <w:ind w:left="1416"/>
      </w:pPr>
      <w:r>
        <w:rPr>
          <w:rFonts w:eastAsia="Times New Roman"/>
          <w:b/>
        </w:rPr>
        <w:lastRenderedPageBreak/>
        <w:t xml:space="preserve">                   </w:t>
      </w:r>
    </w:p>
    <w:p w:rsidR="004802E9" w:rsidRPr="004802E9" w:rsidRDefault="004802E9" w:rsidP="004802E9">
      <w:pPr>
        <w:pStyle w:val="2"/>
        <w:ind w:right="-2"/>
        <w:rPr>
          <w:rFonts w:ascii="Times New Roman" w:hAnsi="Times New Roman" w:cs="Times New Roman"/>
          <w:b/>
          <w:color w:val="000000" w:themeColor="text1"/>
          <w:sz w:val="24"/>
          <w:szCs w:val="24"/>
        </w:rPr>
      </w:pPr>
      <w:r w:rsidRPr="004802E9">
        <w:rPr>
          <w:rFonts w:ascii="Times New Roman" w:hAnsi="Times New Roman" w:cs="Times New Roman"/>
          <w:b/>
          <w:color w:val="000000" w:themeColor="text1"/>
          <w:sz w:val="24"/>
          <w:szCs w:val="24"/>
        </w:rPr>
        <w:t xml:space="preserve">Оценочные шкалы текущего контроля знаний </w:t>
      </w:r>
    </w:p>
    <w:p w:rsidR="004802E9" w:rsidRPr="004802E9" w:rsidRDefault="004802E9" w:rsidP="004802E9">
      <w:pPr>
        <w:spacing w:after="2" w:line="259" w:lineRule="auto"/>
        <w:ind w:right="-2"/>
        <w:rPr>
          <w:sz w:val="16"/>
          <w:szCs w:val="16"/>
        </w:rPr>
      </w:pPr>
      <w:r w:rsidRPr="004802E9">
        <w:rPr>
          <w:rFonts w:eastAsia="Times New Roman"/>
          <w:b/>
          <w:sz w:val="16"/>
          <w:szCs w:val="16"/>
        </w:rPr>
        <w:t xml:space="preserve"> </w:t>
      </w:r>
    </w:p>
    <w:p w:rsidR="004802E9" w:rsidRDefault="004802E9" w:rsidP="004802E9">
      <w:pPr>
        <w:tabs>
          <w:tab w:val="center" w:pos="3182"/>
          <w:tab w:val="center" w:pos="4580"/>
          <w:tab w:val="center" w:pos="6127"/>
          <w:tab w:val="center" w:pos="7839"/>
          <w:tab w:val="center" w:pos="9541"/>
        </w:tabs>
        <w:spacing w:line="259" w:lineRule="auto"/>
        <w:ind w:right="-2"/>
        <w:jc w:val="both"/>
      </w:pPr>
      <w:r>
        <w:rPr>
          <w:sz w:val="23"/>
        </w:rPr>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w:t>
      </w:r>
    </w:p>
    <w:p w:rsidR="004802E9" w:rsidRPr="004802E9" w:rsidRDefault="004802E9" w:rsidP="004802E9">
      <w:pPr>
        <w:pStyle w:val="3"/>
        <w:spacing w:line="259" w:lineRule="auto"/>
        <w:ind w:left="1274"/>
        <w:rPr>
          <w:sz w:val="16"/>
          <w:szCs w:val="16"/>
        </w:rPr>
      </w:pPr>
      <w:r w:rsidRPr="004802E9">
        <w:rPr>
          <w:rFonts w:ascii="Times New Roman" w:eastAsia="Times New Roman" w:hAnsi="Times New Roman" w:cs="Times New Roman"/>
          <w:sz w:val="16"/>
          <w:szCs w:val="16"/>
          <w:u w:val="single" w:color="000000"/>
        </w:rPr>
        <w:t xml:space="preserve"> </w:t>
      </w:r>
    </w:p>
    <w:tbl>
      <w:tblPr>
        <w:tblStyle w:val="TableGrid"/>
        <w:tblW w:w="9356" w:type="dxa"/>
        <w:tblInd w:w="-5" w:type="dxa"/>
        <w:tblCellMar>
          <w:top w:w="8" w:type="dxa"/>
          <w:left w:w="170" w:type="dxa"/>
          <w:right w:w="113" w:type="dxa"/>
        </w:tblCellMar>
        <w:tblLook w:val="04A0" w:firstRow="1" w:lastRow="0" w:firstColumn="1" w:lastColumn="0" w:noHBand="0" w:noVBand="1"/>
      </w:tblPr>
      <w:tblGrid>
        <w:gridCol w:w="2664"/>
        <w:gridCol w:w="3347"/>
        <w:gridCol w:w="3345"/>
      </w:tblGrid>
      <w:tr w:rsidR="004802E9" w:rsidTr="004802E9">
        <w:trPr>
          <w:trHeight w:val="576"/>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30"/>
              <w:jc w:val="center"/>
            </w:pPr>
            <w:r>
              <w:rPr>
                <w:sz w:val="23"/>
              </w:rPr>
              <w:t xml:space="preserve">Качество освоения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51"/>
              <w:jc w:val="center"/>
            </w:pPr>
            <w:r>
              <w:rPr>
                <w:sz w:val="23"/>
              </w:rPr>
              <w:t xml:space="preserve">Уровень успешности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pPr>
            <w:r>
              <w:rPr>
                <w:sz w:val="23"/>
              </w:rPr>
              <w:t xml:space="preserve">Отметка по 5-ти балльной шкале </w:t>
            </w:r>
          </w:p>
        </w:tc>
      </w:tr>
      <w:tr w:rsidR="004802E9" w:rsidTr="004802E9">
        <w:trPr>
          <w:trHeight w:val="298"/>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7"/>
              <w:jc w:val="center"/>
            </w:pPr>
            <w:r>
              <w:rPr>
                <w:sz w:val="23"/>
              </w:rPr>
              <w:t xml:space="preserve">90-100%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35"/>
              <w:jc w:val="center"/>
            </w:pPr>
            <w:r>
              <w:rPr>
                <w:sz w:val="23"/>
              </w:rPr>
              <w:t xml:space="preserve">Программный/повышенный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«5» </w:t>
            </w:r>
          </w:p>
        </w:tc>
      </w:tr>
      <w:tr w:rsidR="004802E9" w:rsidTr="004802E9">
        <w:trPr>
          <w:trHeight w:val="293"/>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
              <w:jc w:val="center"/>
            </w:pPr>
            <w:r>
              <w:rPr>
                <w:sz w:val="23"/>
              </w:rPr>
              <w:t xml:space="preserve">80-89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100"/>
              <w:jc w:val="center"/>
            </w:pPr>
            <w:r>
              <w:rPr>
                <w:sz w:val="23"/>
              </w:rPr>
              <w:t xml:space="preserve">Программный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«4» </w:t>
            </w:r>
          </w:p>
        </w:tc>
      </w:tr>
      <w:tr w:rsidR="004802E9" w:rsidTr="004802E9">
        <w:trPr>
          <w:trHeight w:val="298"/>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4"/>
              <w:jc w:val="center"/>
            </w:pPr>
            <w:r>
              <w:rPr>
                <w:sz w:val="23"/>
              </w:rPr>
              <w:t xml:space="preserve">50-79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left="48"/>
              <w:jc w:val="center"/>
            </w:pPr>
            <w:r>
              <w:rPr>
                <w:sz w:val="23"/>
              </w:rPr>
              <w:t xml:space="preserve">Необходимый/базовый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«3» </w:t>
            </w:r>
          </w:p>
        </w:tc>
      </w:tr>
      <w:tr w:rsidR="004802E9" w:rsidTr="004802E9">
        <w:trPr>
          <w:trHeight w:val="305"/>
        </w:trPr>
        <w:tc>
          <w:tcPr>
            <w:tcW w:w="2664"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65"/>
              <w:jc w:val="center"/>
            </w:pPr>
            <w:r>
              <w:rPr>
                <w:sz w:val="23"/>
              </w:rPr>
              <w:t xml:space="preserve">меньше 50% </w:t>
            </w:r>
          </w:p>
        </w:tc>
        <w:tc>
          <w:tcPr>
            <w:tcW w:w="3347"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216"/>
              <w:jc w:val="center"/>
            </w:pPr>
            <w:r>
              <w:rPr>
                <w:sz w:val="23"/>
              </w:rPr>
              <w:t xml:space="preserve">Ниже необходимого </w:t>
            </w:r>
          </w:p>
        </w:tc>
        <w:tc>
          <w:tcPr>
            <w:tcW w:w="3345" w:type="dxa"/>
            <w:tcBorders>
              <w:top w:val="single" w:sz="4" w:space="0" w:color="000000"/>
              <w:left w:val="single" w:sz="4" w:space="0" w:color="000000"/>
              <w:bottom w:val="single" w:sz="4" w:space="0" w:color="000000"/>
              <w:right w:val="single" w:sz="4" w:space="0" w:color="000000"/>
            </w:tcBorders>
          </w:tcPr>
          <w:p w:rsidR="004802E9" w:rsidRDefault="004802E9" w:rsidP="0071473B">
            <w:pPr>
              <w:spacing w:line="259" w:lineRule="auto"/>
              <w:ind w:right="58"/>
              <w:jc w:val="center"/>
            </w:pPr>
            <w:r>
              <w:rPr>
                <w:sz w:val="23"/>
              </w:rPr>
              <w:t xml:space="preserve">«2» </w:t>
            </w:r>
          </w:p>
        </w:tc>
      </w:tr>
    </w:tbl>
    <w:p w:rsidR="004802E9" w:rsidRDefault="004802E9" w:rsidP="004802E9">
      <w:pPr>
        <w:spacing w:after="488" w:line="259" w:lineRule="auto"/>
        <w:ind w:left="1416"/>
        <w:rPr>
          <w:rFonts w:ascii="Arial Unicode MS" w:eastAsia="Arial Unicode MS" w:hAnsi="Arial Unicode MS" w:cs="Arial Unicode MS"/>
          <w:sz w:val="2"/>
        </w:rPr>
      </w:pPr>
      <w:r>
        <w:rPr>
          <w:rFonts w:ascii="Arial Unicode MS" w:eastAsia="Arial Unicode MS" w:hAnsi="Arial Unicode MS" w:cs="Arial Unicode MS"/>
          <w:sz w:val="2"/>
        </w:rPr>
        <w:t xml:space="preserve"> </w:t>
      </w:r>
    </w:p>
    <w:p w:rsidR="004802E9" w:rsidRPr="004802E9" w:rsidRDefault="004802E9" w:rsidP="004802E9">
      <w:pPr>
        <w:jc w:val="both"/>
        <w:rPr>
          <w:b/>
        </w:rPr>
      </w:pPr>
      <w:r w:rsidRPr="004802E9">
        <w:rPr>
          <w:b/>
        </w:rPr>
        <w:t xml:space="preserve">Критерии оценки (отметки) теоретической части </w:t>
      </w:r>
    </w:p>
    <w:p w:rsidR="004802E9" w:rsidRDefault="004802E9" w:rsidP="004802E9">
      <w:pPr>
        <w:jc w:val="both"/>
      </w:pPr>
      <w:r>
        <w:rPr>
          <w:rFonts w:eastAsia="Times New Roman"/>
          <w:b/>
          <w:sz w:val="23"/>
        </w:rPr>
        <w:t>«5»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4802E9" w:rsidRDefault="004802E9" w:rsidP="004802E9">
      <w:pPr>
        <w:jc w:val="both"/>
      </w:pPr>
      <w:r>
        <w:rPr>
          <w:rFonts w:eastAsia="Times New Roman"/>
          <w:b/>
          <w:sz w:val="23"/>
        </w:rPr>
        <w:t>«4»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4802E9" w:rsidRDefault="004802E9" w:rsidP="004802E9">
      <w:pPr>
        <w:jc w:val="both"/>
      </w:pPr>
      <w:r>
        <w:rPr>
          <w:rFonts w:eastAsia="Times New Roman"/>
          <w:b/>
          <w:sz w:val="23"/>
        </w:rPr>
        <w:t>«3»</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4802E9" w:rsidRDefault="004802E9" w:rsidP="004802E9">
      <w:pPr>
        <w:jc w:val="both"/>
      </w:pPr>
      <w:r>
        <w:rPr>
          <w:rFonts w:eastAsia="Times New Roman"/>
          <w:b/>
          <w:sz w:val="23"/>
        </w:rPr>
        <w:t>«2»</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w:t>
      </w:r>
    </w:p>
    <w:p w:rsidR="004802E9" w:rsidRDefault="004802E9" w:rsidP="004802E9">
      <w:pPr>
        <w:pStyle w:val="3"/>
        <w:spacing w:after="31" w:line="259" w:lineRule="auto"/>
        <w:ind w:right="-2"/>
        <w:jc w:val="both"/>
        <w:rPr>
          <w:rFonts w:ascii="Times New Roman" w:hAnsi="Times New Roman" w:cs="Times New Roman"/>
          <w:b/>
          <w:color w:val="000000" w:themeColor="text1"/>
        </w:rPr>
      </w:pPr>
    </w:p>
    <w:p w:rsidR="004802E9" w:rsidRPr="004802E9" w:rsidRDefault="004802E9" w:rsidP="004802E9">
      <w:pPr>
        <w:pStyle w:val="3"/>
        <w:spacing w:after="31" w:line="259" w:lineRule="auto"/>
        <w:ind w:right="-2"/>
        <w:jc w:val="both"/>
        <w:rPr>
          <w:rFonts w:ascii="Times New Roman" w:hAnsi="Times New Roman" w:cs="Times New Roman"/>
          <w:b/>
          <w:color w:val="000000" w:themeColor="text1"/>
        </w:rPr>
      </w:pPr>
      <w:r w:rsidRPr="004802E9">
        <w:rPr>
          <w:rFonts w:ascii="Times New Roman" w:hAnsi="Times New Roman" w:cs="Times New Roman"/>
          <w:b/>
          <w:color w:val="000000" w:themeColor="text1"/>
        </w:rPr>
        <w:t xml:space="preserve">Критерии оценки практической части </w:t>
      </w:r>
    </w:p>
    <w:p w:rsidR="004802E9" w:rsidRDefault="004802E9" w:rsidP="004802E9">
      <w:pPr>
        <w:spacing w:after="21" w:line="265" w:lineRule="auto"/>
        <w:ind w:right="-2"/>
        <w:jc w:val="both"/>
      </w:pPr>
      <w:r>
        <w:rPr>
          <w:rFonts w:eastAsia="Times New Roman"/>
          <w:b/>
          <w:sz w:val="23"/>
        </w:rPr>
        <w:t>«5»</w:t>
      </w:r>
      <w:r>
        <w:rPr>
          <w:sz w:val="23"/>
        </w:rPr>
        <w:t xml:space="preserve"> - студент ежедневно курирует тематического больного,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 лабораторные и инструментальные показатели с учетом нормы). </w:t>
      </w:r>
    </w:p>
    <w:p w:rsidR="004802E9" w:rsidRDefault="004802E9" w:rsidP="004802E9">
      <w:pPr>
        <w:spacing w:after="21" w:line="265" w:lineRule="auto"/>
        <w:ind w:right="-2"/>
        <w:jc w:val="both"/>
      </w:pPr>
      <w:r>
        <w:rPr>
          <w:rFonts w:eastAsia="Times New Roman"/>
          <w:b/>
          <w:sz w:val="23"/>
        </w:rPr>
        <w:t>«4» -</w:t>
      </w:r>
      <w:r>
        <w:rPr>
          <w:sz w:val="23"/>
        </w:rPr>
        <w:t xml:space="preserve"> 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4802E9" w:rsidRDefault="004802E9" w:rsidP="004802E9">
      <w:pPr>
        <w:spacing w:after="21" w:line="265" w:lineRule="auto"/>
        <w:ind w:right="-2"/>
        <w:jc w:val="both"/>
      </w:pPr>
      <w:r>
        <w:rPr>
          <w:rFonts w:eastAsia="Times New Roman"/>
          <w:b/>
          <w:sz w:val="23"/>
        </w:rPr>
        <w:t>«3» -</w:t>
      </w:r>
      <w:r>
        <w:rPr>
          <w:sz w:val="23"/>
        </w:rPr>
        <w:t xml:space="preserve"> студент нерегулярно курирует больного студент владеет лишь некоторыми практическими навыками и умениями. </w:t>
      </w:r>
    </w:p>
    <w:p w:rsidR="004802E9" w:rsidRDefault="004802E9" w:rsidP="004802E9">
      <w:pPr>
        <w:spacing w:after="264" w:line="265" w:lineRule="auto"/>
        <w:ind w:right="-2"/>
        <w:jc w:val="both"/>
      </w:pPr>
      <w:r>
        <w:rPr>
          <w:rFonts w:eastAsia="Times New Roman"/>
          <w:b/>
          <w:i/>
          <w:sz w:val="23"/>
        </w:rPr>
        <w:t>«2»</w:t>
      </w:r>
      <w:r>
        <w:rPr>
          <w:sz w:val="23"/>
        </w:rPr>
        <w:t xml:space="preserve"> - студент менее 4 раз посетил курируемого больно, практические навыки и умения выполняет с грубыми ошибками. </w:t>
      </w:r>
    </w:p>
    <w:p w:rsidR="004802E9" w:rsidRDefault="004802E9" w:rsidP="004802E9">
      <w:pPr>
        <w:pStyle w:val="3"/>
        <w:ind w:right="-2"/>
        <w:jc w:val="both"/>
        <w:rPr>
          <w:rFonts w:ascii="Times New Roman" w:eastAsia="Times New Roman" w:hAnsi="Times New Roman" w:cs="Times New Roman"/>
          <w:b/>
          <w:color w:val="auto"/>
          <w:sz w:val="23"/>
        </w:rPr>
      </w:pPr>
      <w:r w:rsidRPr="004802E9">
        <w:rPr>
          <w:rFonts w:ascii="Times New Roman" w:hAnsi="Times New Roman" w:cs="Times New Roman"/>
          <w:b/>
          <w:color w:val="000000" w:themeColor="text1"/>
        </w:rPr>
        <w:t>Критерии оценки дежурства и отчета по дежурству</w:t>
      </w:r>
    </w:p>
    <w:p w:rsidR="004802E9" w:rsidRDefault="004802E9" w:rsidP="004802E9">
      <w:pPr>
        <w:spacing w:after="21" w:line="265" w:lineRule="auto"/>
        <w:ind w:right="-2"/>
        <w:jc w:val="both"/>
      </w:pPr>
      <w:r>
        <w:rPr>
          <w:rFonts w:eastAsia="Times New Roman"/>
          <w:b/>
          <w:sz w:val="23"/>
        </w:rPr>
        <w:t>«5» -</w:t>
      </w:r>
      <w:r>
        <w:rPr>
          <w:sz w:val="23"/>
        </w:rPr>
        <w:t xml:space="preserve"> студент отдежурил без замечаний, принимал активное участие при проведении лечебных манипуляций, неотложной помощи, грамотно и правильно излагает историю болезни курируемого больного, формулирует клинический диагноз, назначает обследование и лечение, умело соединяет теоретические знания с практическими умениями.  </w:t>
      </w:r>
    </w:p>
    <w:p w:rsidR="004802E9" w:rsidRDefault="004802E9" w:rsidP="004802E9">
      <w:pPr>
        <w:spacing w:after="21" w:line="265" w:lineRule="auto"/>
        <w:ind w:right="-2"/>
        <w:jc w:val="both"/>
      </w:pPr>
      <w:r>
        <w:rPr>
          <w:rFonts w:eastAsia="Times New Roman"/>
          <w:b/>
          <w:sz w:val="23"/>
        </w:rPr>
        <w:lastRenderedPageBreak/>
        <w:t>«4» -</w:t>
      </w:r>
      <w:r>
        <w:rPr>
          <w:sz w:val="23"/>
        </w:rPr>
        <w:t xml:space="preserve"> студент отдежурил без замечаний, принимал активное участие при проведении лечебных манипуляций, неотложной помощи, но допускает некоторые неточности в изложении истории болезни курируемого больного, постановке клинического диагноза, назначении обследования и лечения. </w:t>
      </w:r>
    </w:p>
    <w:p w:rsidR="004802E9" w:rsidRDefault="004802E9" w:rsidP="004802E9">
      <w:pPr>
        <w:spacing w:after="21" w:line="265" w:lineRule="auto"/>
        <w:ind w:right="-2"/>
        <w:jc w:val="both"/>
      </w:pPr>
      <w:r>
        <w:rPr>
          <w:rFonts w:eastAsia="Times New Roman"/>
          <w:b/>
          <w:sz w:val="23"/>
        </w:rPr>
        <w:t>«3» -</w:t>
      </w:r>
      <w:r>
        <w:rPr>
          <w:sz w:val="23"/>
        </w:rPr>
        <w:t xml:space="preserve"> студент отдежурил без замечаний, но был пассивен, допускает неточности в изложении истории болезни курируемого больного, постановке клинического диагноза, назначении обследования и лечения. </w:t>
      </w:r>
    </w:p>
    <w:p w:rsidR="004802E9" w:rsidRDefault="004802E9" w:rsidP="004802E9">
      <w:pPr>
        <w:spacing w:after="267" w:line="265" w:lineRule="auto"/>
        <w:ind w:right="-2"/>
        <w:jc w:val="both"/>
      </w:pPr>
      <w:r w:rsidRPr="004802E9">
        <w:rPr>
          <w:rFonts w:eastAsia="Times New Roman"/>
          <w:b/>
          <w:sz w:val="23"/>
        </w:rPr>
        <w:t>«2» -</w:t>
      </w:r>
      <w:r>
        <w:rPr>
          <w:sz w:val="23"/>
        </w:rPr>
        <w:t xml:space="preserve"> студент не дежурил или отдежурил с замечаниями, был пассивен, не умеет изложить историю болезни курируемого больного, поставить клинический диагноз, назначить обследование и лечение. </w:t>
      </w:r>
    </w:p>
    <w:p w:rsidR="004802E9" w:rsidRDefault="004802E9" w:rsidP="004802E9">
      <w:pPr>
        <w:spacing w:after="21" w:line="265" w:lineRule="auto"/>
        <w:ind w:right="-2"/>
      </w:pPr>
      <w:r>
        <w:rPr>
          <w:rFonts w:eastAsia="Times New Roman"/>
          <w:b/>
          <w:sz w:val="23"/>
        </w:rPr>
        <w:t>Критерии оценки учебной истории болезни «5»-</w:t>
      </w:r>
      <w:r>
        <w:rPr>
          <w:sz w:val="23"/>
        </w:rPr>
        <w:t xml:space="preserve"> оформление учебной истории болезни согласно требованиям. </w:t>
      </w:r>
    </w:p>
    <w:p w:rsidR="004802E9" w:rsidRDefault="004802E9" w:rsidP="004802E9">
      <w:pPr>
        <w:spacing w:after="21" w:line="265" w:lineRule="auto"/>
        <w:ind w:right="-2"/>
      </w:pPr>
      <w:r>
        <w:rPr>
          <w:rFonts w:eastAsia="Times New Roman"/>
          <w:b/>
          <w:sz w:val="23"/>
        </w:rPr>
        <w:t>«4»-</w:t>
      </w:r>
      <w:r>
        <w:rPr>
          <w:sz w:val="23"/>
        </w:rPr>
        <w:t xml:space="preserve"> 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4802E9" w:rsidRDefault="004802E9" w:rsidP="004802E9">
      <w:pPr>
        <w:spacing w:after="21" w:line="265" w:lineRule="auto"/>
        <w:ind w:right="-2"/>
      </w:pPr>
      <w:r>
        <w:rPr>
          <w:rFonts w:eastAsia="Times New Roman"/>
          <w:b/>
          <w:sz w:val="23"/>
        </w:rPr>
        <w:t>«3» -</w:t>
      </w:r>
      <w:r>
        <w:rPr>
          <w:sz w:val="23"/>
        </w:rPr>
        <w:t xml:space="preserve"> 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4802E9" w:rsidRDefault="004802E9" w:rsidP="004802E9">
      <w:pPr>
        <w:spacing w:after="267" w:line="265" w:lineRule="auto"/>
        <w:ind w:right="-2"/>
      </w:pPr>
      <w:r>
        <w:rPr>
          <w:rFonts w:eastAsia="Times New Roman"/>
          <w:b/>
          <w:sz w:val="23"/>
        </w:rPr>
        <w:t>«2» -</w:t>
      </w:r>
      <w:r>
        <w:rPr>
          <w:sz w:val="23"/>
        </w:rPr>
        <w:t xml:space="preserve"> история болезни написана неразборчивым почерком, с грубыми ошибками (не выставлен и не обоснован развернутый клинический диагноз, не правильно назначено лечение, не освещен патогенез заболевания. </w:t>
      </w:r>
    </w:p>
    <w:p w:rsidR="004802E9" w:rsidRDefault="004802E9" w:rsidP="004802E9">
      <w:pPr>
        <w:pStyle w:val="3"/>
        <w:spacing w:line="259" w:lineRule="auto"/>
        <w:ind w:right="-2"/>
        <w:jc w:val="center"/>
      </w:pPr>
      <w:r>
        <w:t xml:space="preserve">Отработка задолженностей по дисциплине </w:t>
      </w:r>
    </w:p>
    <w:p w:rsidR="004802E9" w:rsidRDefault="004802E9" w:rsidP="004802E9">
      <w:pPr>
        <w:spacing w:line="265" w:lineRule="auto"/>
        <w:ind w:right="-2"/>
      </w:pPr>
      <w:r>
        <w:rPr>
          <w:sz w:val="23"/>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4802E9" w:rsidRDefault="004802E9" w:rsidP="004802E9">
      <w:pPr>
        <w:spacing w:after="21" w:line="265" w:lineRule="auto"/>
        <w:ind w:right="-2"/>
      </w:pPr>
      <w:r>
        <w:rPr>
          <w:sz w:val="23"/>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4802E9" w:rsidRDefault="004802E9" w:rsidP="004802E9">
      <w:pPr>
        <w:spacing w:after="311" w:line="265" w:lineRule="auto"/>
        <w:ind w:right="-2"/>
      </w:pPr>
      <w:r>
        <w:rPr>
          <w:sz w:val="23"/>
        </w:rP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внеуадиторной самостоятельной работы по теме пропущенного занятия. </w:t>
      </w:r>
    </w:p>
    <w:p w:rsidR="004802E9" w:rsidRPr="004802E9" w:rsidRDefault="004802E9" w:rsidP="004802E9">
      <w:pPr>
        <w:pStyle w:val="3"/>
        <w:spacing w:after="328"/>
        <w:ind w:right="-2"/>
        <w:rPr>
          <w:rFonts w:ascii="Times New Roman" w:hAnsi="Times New Roman" w:cs="Times New Roman"/>
          <w:b/>
          <w:color w:val="000000" w:themeColor="text1"/>
        </w:rPr>
      </w:pPr>
      <w:r w:rsidRPr="004802E9">
        <w:rPr>
          <w:rFonts w:ascii="Times New Roman" w:hAnsi="Times New Roman" w:cs="Times New Roman"/>
          <w:b/>
          <w:color w:val="000000" w:themeColor="text1"/>
        </w:rPr>
        <w:t xml:space="preserve">Критерии оценивания промежуточной аттестации </w:t>
      </w:r>
    </w:p>
    <w:p w:rsidR="004802E9" w:rsidRDefault="004802E9" w:rsidP="004802E9">
      <w:pPr>
        <w:spacing w:after="21" w:line="265" w:lineRule="auto"/>
        <w:ind w:right="-2"/>
      </w:pPr>
      <w:r>
        <w:rPr>
          <w:sz w:val="23"/>
        </w:rPr>
        <w:t xml:space="preserve">Промежуточная аттестация проводится в 3 этапа: </w:t>
      </w:r>
    </w:p>
    <w:p w:rsidR="004802E9" w:rsidRDefault="004802E9" w:rsidP="004802E9">
      <w:pPr>
        <w:numPr>
          <w:ilvl w:val="0"/>
          <w:numId w:val="5"/>
        </w:numPr>
        <w:tabs>
          <w:tab w:val="left" w:pos="284"/>
        </w:tabs>
        <w:spacing w:after="21" w:line="265" w:lineRule="auto"/>
        <w:ind w:left="0" w:right="-2"/>
        <w:jc w:val="both"/>
      </w:pPr>
      <w:r>
        <w:rPr>
          <w:sz w:val="23"/>
        </w:rPr>
        <w:t xml:space="preserve">Тестовый контроль в системе «Moodle». </w:t>
      </w:r>
    </w:p>
    <w:p w:rsidR="004802E9" w:rsidRDefault="004802E9" w:rsidP="004802E9">
      <w:pPr>
        <w:numPr>
          <w:ilvl w:val="0"/>
          <w:numId w:val="5"/>
        </w:numPr>
        <w:tabs>
          <w:tab w:val="left" w:pos="284"/>
        </w:tabs>
        <w:spacing w:after="21" w:line="265" w:lineRule="auto"/>
        <w:ind w:left="0" w:right="-2"/>
        <w:jc w:val="both"/>
      </w:pPr>
      <w:r>
        <w:rPr>
          <w:sz w:val="23"/>
        </w:rPr>
        <w:t xml:space="preserve">Сдача практических навыков (компетенций). </w:t>
      </w:r>
    </w:p>
    <w:p w:rsidR="004802E9" w:rsidRDefault="004802E9" w:rsidP="004802E9">
      <w:pPr>
        <w:numPr>
          <w:ilvl w:val="0"/>
          <w:numId w:val="5"/>
        </w:numPr>
        <w:tabs>
          <w:tab w:val="left" w:pos="284"/>
        </w:tabs>
        <w:ind w:left="0"/>
        <w:jc w:val="both"/>
      </w:pPr>
      <w:r>
        <w:rPr>
          <w:sz w:val="23"/>
        </w:rPr>
        <w:t>Ответы на вопросы для зачёта</w:t>
      </w:r>
      <w:r>
        <w:rPr>
          <w:rFonts w:eastAsia="Times New Roman"/>
          <w:b/>
          <w:sz w:val="23"/>
        </w:rPr>
        <w:t xml:space="preserve"> </w:t>
      </w:r>
    </w:p>
    <w:p w:rsidR="004802E9" w:rsidRDefault="004802E9" w:rsidP="004802E9">
      <w:pPr>
        <w:pStyle w:val="2"/>
        <w:spacing w:before="0"/>
      </w:pPr>
      <w:r>
        <w:t xml:space="preserve">                    </w:t>
      </w:r>
    </w:p>
    <w:p w:rsidR="004802E9" w:rsidRDefault="004802E9" w:rsidP="004802E9">
      <w:pPr>
        <w:pStyle w:val="2"/>
        <w:spacing w:before="0"/>
        <w:rPr>
          <w:rFonts w:ascii="Times New Roman" w:hAnsi="Times New Roman" w:cs="Times New Roman"/>
          <w:b/>
          <w:color w:val="000000" w:themeColor="text1"/>
          <w:sz w:val="24"/>
          <w:szCs w:val="24"/>
        </w:rPr>
      </w:pPr>
      <w:r w:rsidRPr="004802E9">
        <w:rPr>
          <w:rFonts w:ascii="Times New Roman" w:hAnsi="Times New Roman" w:cs="Times New Roman"/>
          <w:b/>
          <w:color w:val="000000" w:themeColor="text1"/>
          <w:sz w:val="24"/>
          <w:szCs w:val="24"/>
        </w:rPr>
        <w:t xml:space="preserve">Критерии итоговой оценки (промежуточная аттестация) </w:t>
      </w:r>
    </w:p>
    <w:p w:rsidR="004802E9" w:rsidRPr="004802E9" w:rsidRDefault="004802E9" w:rsidP="004802E9">
      <w:pPr>
        <w:rPr>
          <w:sz w:val="16"/>
          <w:szCs w:val="16"/>
        </w:rPr>
      </w:pPr>
    </w:p>
    <w:p w:rsidR="004802E9" w:rsidRDefault="004802E9" w:rsidP="004802E9">
      <w:pPr>
        <w:jc w:val="both"/>
        <w:rPr>
          <w:sz w:val="23"/>
        </w:rPr>
      </w:pPr>
      <w:r>
        <w:rPr>
          <w:rFonts w:eastAsia="Times New Roman"/>
          <w:b/>
          <w:sz w:val="23"/>
        </w:rPr>
        <w:t>«Отлично»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 </w:t>
      </w:r>
    </w:p>
    <w:p w:rsidR="004802E9" w:rsidRDefault="004802E9" w:rsidP="004802E9">
      <w:pPr>
        <w:jc w:val="both"/>
      </w:pPr>
      <w:r>
        <w:rPr>
          <w:rFonts w:eastAsia="Times New Roman"/>
          <w:b/>
          <w:sz w:val="23"/>
        </w:rPr>
        <w:t>«Хорошо»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w:t>
      </w:r>
      <w:r>
        <w:rPr>
          <w:rFonts w:eastAsia="Times New Roman"/>
          <w:b/>
          <w:sz w:val="23"/>
        </w:rPr>
        <w:t xml:space="preserve"> </w:t>
      </w:r>
    </w:p>
    <w:p w:rsidR="004802E9" w:rsidRDefault="004802E9" w:rsidP="004802E9">
      <w:pPr>
        <w:spacing w:after="21" w:line="265" w:lineRule="auto"/>
        <w:ind w:right="-2"/>
        <w:jc w:val="both"/>
      </w:pPr>
      <w:r>
        <w:rPr>
          <w:rFonts w:eastAsia="Times New Roman"/>
          <w:b/>
          <w:sz w:val="23"/>
        </w:rPr>
        <w:lastRenderedPageBreak/>
        <w:t>«Удовлетворительно»</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w:t>
      </w:r>
      <w:r>
        <w:rPr>
          <w:rFonts w:eastAsia="Times New Roman"/>
          <w:b/>
          <w:sz w:val="23"/>
        </w:rPr>
        <w:t xml:space="preserve"> </w:t>
      </w:r>
    </w:p>
    <w:p w:rsidR="004802E9" w:rsidRDefault="004802E9" w:rsidP="004802E9">
      <w:pPr>
        <w:spacing w:line="265" w:lineRule="auto"/>
        <w:ind w:right="-2"/>
        <w:jc w:val="both"/>
      </w:pPr>
      <w:r>
        <w:rPr>
          <w:rFonts w:eastAsia="Times New Roman"/>
          <w:b/>
          <w:sz w:val="23"/>
        </w:rPr>
        <w:t>«Неудовлетворительно»</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Практические навыки и умения выполняет с грубыми ошибками. </w:t>
      </w:r>
    </w:p>
    <w:p w:rsidR="004802E9" w:rsidRDefault="004802E9" w:rsidP="004802E9">
      <w:pPr>
        <w:spacing w:after="324" w:line="265" w:lineRule="auto"/>
        <w:ind w:right="-2" w:firstLine="360"/>
        <w:jc w:val="both"/>
      </w:pPr>
      <w:r>
        <w:rPr>
          <w:sz w:val="23"/>
        </w:rPr>
        <w:t>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 Обучающийся может отказаться от оценки - «автомата» и сдавать экзамен или зачет вместе</w:t>
      </w:r>
      <w:r w:rsidR="003E1B4B">
        <w:rPr>
          <w:sz w:val="23"/>
        </w:rPr>
        <w:t xml:space="preserve"> с группой на общих основаниях.</w:t>
      </w:r>
      <w:bookmarkStart w:id="0" w:name="_GoBack"/>
      <w:bookmarkEnd w:id="0"/>
    </w:p>
    <w:sectPr w:rsidR="004802E9" w:rsidSect="00540404">
      <w:headerReference w:type="even" r:id="rId8"/>
      <w:headerReference w:type="default" r:id="rId9"/>
      <w:headerReference w:type="firs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4D" w:rsidRDefault="005C1D4D">
      <w:r>
        <w:separator/>
      </w:r>
    </w:p>
  </w:endnote>
  <w:endnote w:type="continuationSeparator" w:id="0">
    <w:p w:rsidR="005C1D4D" w:rsidRDefault="005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4D" w:rsidRDefault="005C1D4D">
      <w:r>
        <w:separator/>
      </w:r>
    </w:p>
  </w:footnote>
  <w:footnote w:type="continuationSeparator" w:id="0">
    <w:p w:rsidR="005C1D4D" w:rsidRDefault="005C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5C1D4D">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59264" behindDoc="1" locked="0" layoutInCell="1" allowOverlap="0" wp14:anchorId="755221A5" wp14:editId="6AE1AA07">
          <wp:simplePos x="0" y="0"/>
          <wp:positionH relativeFrom="page">
            <wp:posOffset>7007352</wp:posOffset>
          </wp:positionH>
          <wp:positionV relativeFrom="page">
            <wp:posOffset>461772</wp:posOffset>
          </wp:positionV>
          <wp:extent cx="152400" cy="175260"/>
          <wp:effectExtent l="0" t="0" r="0" b="0"/>
          <wp:wrapNone/>
          <wp:docPr id="1"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6E44CEBE" wp14:editId="60BC4722">
              <wp:simplePos x="0" y="0"/>
              <wp:positionH relativeFrom="page">
                <wp:posOffset>719328</wp:posOffset>
              </wp:positionH>
              <wp:positionV relativeFrom="page">
                <wp:posOffset>-110950</wp:posOffset>
              </wp:positionV>
              <wp:extent cx="42367" cy="152251"/>
              <wp:effectExtent l="0" t="0" r="0" b="0"/>
              <wp:wrapSquare wrapText="bothSides"/>
              <wp:docPr id="111060" name="Group 11106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61" name="Rectangle 11106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449BABAE" id="Group 111060" o:spid="_x0000_s1026" style="position:absolute;left:0;text-align:left;margin-left:56.65pt;margin-top:-8.75pt;width:3.35pt;height:12pt;z-index:251660288;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cEEZXAgCAACIBAAA&#10;DgAAAAAAAAAAAAAAAAAuAgAAZHJzL2Uyb0RvYy54bWxQSwECLQAUAAYACAAAACEA1axiTd4AAAAJ&#10;AQAADwAAAAAAAAAAAAAAAABiBAAAZHJzL2Rvd25yZXYueG1sUEsFBgAAAAAEAAQA8wAAAG0FAAAA&#10;AA==&#10;">
              <v:rect id="Rectangle 111061" o:spid="_x0000_s1027"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DwsMA&#10;AADfAAAADwAAAGRycy9kb3ducmV2LnhtbERPy4rCMBTdD8w/hDvgbkzrQrQaRWYUXfoY6Li7NNe2&#10;2NyUJtrq1xtBcHk47+m8M5W4UuNKywrifgSCOLO65FzB32H1PQLhPLLGyjIpuJGD+ezzY4qJti3v&#10;6Lr3uQgh7BJUUHhfJ1K6rCCDrm9r4sCdbGPQB9jkUjfYhnBTyUEUDaXBkkNDgTX9FJSd9xejYD2q&#10;F/8be2/zanlcp9t0/HsYe6V6X91iAsJT59/il3ujw/w4jo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Dws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3E1B4B">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61312" behindDoc="1" locked="0" layoutInCell="1" allowOverlap="0" wp14:anchorId="3201C3C9" wp14:editId="08C0C718">
          <wp:simplePos x="0" y="0"/>
          <wp:positionH relativeFrom="page">
            <wp:posOffset>7007352</wp:posOffset>
          </wp:positionH>
          <wp:positionV relativeFrom="page">
            <wp:posOffset>461772</wp:posOffset>
          </wp:positionV>
          <wp:extent cx="152400" cy="175260"/>
          <wp:effectExtent l="0" t="0" r="0" b="0"/>
          <wp:wrapNone/>
          <wp:docPr id="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2336" behindDoc="0" locked="0" layoutInCell="1" allowOverlap="1" wp14:anchorId="66A2ABB9" wp14:editId="09A2C767">
              <wp:simplePos x="0" y="0"/>
              <wp:positionH relativeFrom="page">
                <wp:posOffset>719328</wp:posOffset>
              </wp:positionH>
              <wp:positionV relativeFrom="page">
                <wp:posOffset>-110950</wp:posOffset>
              </wp:positionV>
              <wp:extent cx="42367" cy="152251"/>
              <wp:effectExtent l="0" t="0" r="0" b="0"/>
              <wp:wrapSquare wrapText="bothSides"/>
              <wp:docPr id="111050" name="Group 11105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51" name="Rectangle 11105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6CEEDAEE" id="Group 111050" o:spid="_x0000_s1028" style="position:absolute;left:0;text-align:left;margin-left:56.6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THAIAgCAACPBAAA&#10;DgAAAAAAAAAAAAAAAAAuAgAAZHJzL2Uyb0RvYy54bWxQSwECLQAUAAYACAAAACEA1axiTd4AAAAJ&#10;AQAADwAAAAAAAAAAAAAAAABiBAAAZHJzL2Rvd25yZXYueG1sUEsFBgAAAAAEAAQA8wAAAG0FAAAA&#10;AA==&#10;">
              <v:rect id="Rectangle 111051" o:spid="_x0000_s1029"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f8MA&#10;AADfAAAADwAAAGRycy9kb3ducmV2LnhtbERPy4rCMBTdC/MP4QruNK0wotUoMs6gSx8D6u7SXNti&#10;c1OajK1+vRGEWR7Oe7ZoTSluVLvCsoJ4EIEgTq0uOFPwe/jpj0E4j6yxtEwK7uRgMf/ozDDRtuEd&#10;3fY+EyGEXYIKcu+rREqX5mTQDWxFHLiLrQ36AOtM6hqbEG5KOYyikTRYcGjIsaKvnNLr/s8oWI+r&#10;5WljH01Wfp/Xx+1xsjpMvFK9brucgvDU+n/x273RYX4cR58x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Jf8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091"/>
    <w:multiLevelType w:val="hybridMultilevel"/>
    <w:tmpl w:val="D85E1A8E"/>
    <w:lvl w:ilvl="0" w:tplc="084A50EC">
      <w:start w:val="1"/>
      <w:numFmt w:val="decimal"/>
      <w:lvlText w:val="%1."/>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C67C18">
      <w:start w:val="1"/>
      <w:numFmt w:val="lowerLetter"/>
      <w:lvlText w:val="%2"/>
      <w:lvlJc w:val="left"/>
      <w:pPr>
        <w:ind w:left="1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2CEA552">
      <w:start w:val="1"/>
      <w:numFmt w:val="lowerRoman"/>
      <w:lvlText w:val="%3"/>
      <w:lvlJc w:val="left"/>
      <w:pPr>
        <w:ind w:left="1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C9667C0">
      <w:start w:val="1"/>
      <w:numFmt w:val="decimal"/>
      <w:lvlText w:val="%4"/>
      <w:lvlJc w:val="left"/>
      <w:pPr>
        <w:ind w:left="2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F87DFC">
      <w:start w:val="1"/>
      <w:numFmt w:val="lowerLetter"/>
      <w:lvlText w:val="%5"/>
      <w:lvlJc w:val="left"/>
      <w:pPr>
        <w:ind w:left="3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7E8EB6">
      <w:start w:val="1"/>
      <w:numFmt w:val="lowerRoman"/>
      <w:lvlText w:val="%6"/>
      <w:lvlJc w:val="left"/>
      <w:pPr>
        <w:ind w:left="4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B903584">
      <w:start w:val="1"/>
      <w:numFmt w:val="decimal"/>
      <w:lvlText w:val="%7"/>
      <w:lvlJc w:val="left"/>
      <w:pPr>
        <w:ind w:left="4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9646AC">
      <w:start w:val="1"/>
      <w:numFmt w:val="lowerLetter"/>
      <w:lvlText w:val="%8"/>
      <w:lvlJc w:val="left"/>
      <w:pPr>
        <w:ind w:left="5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94B00E">
      <w:start w:val="1"/>
      <w:numFmt w:val="lowerRoman"/>
      <w:lvlText w:val="%9"/>
      <w:lvlJc w:val="left"/>
      <w:pPr>
        <w:ind w:left="6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42212309"/>
    <w:multiLevelType w:val="hybridMultilevel"/>
    <w:tmpl w:val="B76C2B4E"/>
    <w:lvl w:ilvl="0" w:tplc="B8F06944">
      <w:start w:val="1"/>
      <w:numFmt w:val="decimal"/>
      <w:lvlText w:val="%1."/>
      <w:lvlJc w:val="left"/>
      <w:pPr>
        <w:ind w:left="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A05766">
      <w:start w:val="1"/>
      <w:numFmt w:val="lowerLetter"/>
      <w:lvlText w:val="%2"/>
      <w:lvlJc w:val="left"/>
      <w:pPr>
        <w:ind w:left="1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82B132">
      <w:start w:val="1"/>
      <w:numFmt w:val="lowerRoman"/>
      <w:lvlText w:val="%3"/>
      <w:lvlJc w:val="left"/>
      <w:pPr>
        <w:ind w:left="1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FA4F0A">
      <w:start w:val="1"/>
      <w:numFmt w:val="decimal"/>
      <w:lvlText w:val="%4"/>
      <w:lvlJc w:val="left"/>
      <w:pPr>
        <w:ind w:left="2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4A0D16">
      <w:start w:val="1"/>
      <w:numFmt w:val="lowerLetter"/>
      <w:lvlText w:val="%5"/>
      <w:lvlJc w:val="left"/>
      <w:pPr>
        <w:ind w:left="3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24AB6E">
      <w:start w:val="1"/>
      <w:numFmt w:val="lowerRoman"/>
      <w:lvlText w:val="%6"/>
      <w:lvlJc w:val="left"/>
      <w:pPr>
        <w:ind w:left="4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C219D4">
      <w:start w:val="1"/>
      <w:numFmt w:val="decimal"/>
      <w:lvlText w:val="%7"/>
      <w:lvlJc w:val="left"/>
      <w:pPr>
        <w:ind w:left="4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A633D2">
      <w:start w:val="1"/>
      <w:numFmt w:val="lowerLetter"/>
      <w:lvlText w:val="%8"/>
      <w:lvlJc w:val="left"/>
      <w:pPr>
        <w:ind w:left="5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5093E4">
      <w:start w:val="1"/>
      <w:numFmt w:val="lowerRoman"/>
      <w:lvlText w:val="%9"/>
      <w:lvlJc w:val="left"/>
      <w:pPr>
        <w:ind w:left="6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597933B2"/>
    <w:multiLevelType w:val="hybridMultilevel"/>
    <w:tmpl w:val="D900945A"/>
    <w:lvl w:ilvl="0" w:tplc="BE9A99DA">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EBA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617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0E9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173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9B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118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1A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A737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7ED4C51"/>
    <w:multiLevelType w:val="hybridMultilevel"/>
    <w:tmpl w:val="1952A5CA"/>
    <w:lvl w:ilvl="0" w:tplc="DF3C800C">
      <w:start w:val="1"/>
      <w:numFmt w:val="bullet"/>
      <w:lvlText w:val="-"/>
      <w:lvlJc w:val="left"/>
      <w:pPr>
        <w:ind w:left="2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082D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4C74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C5DB8">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A227C">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CBEA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A96DC">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632F8">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2C2F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27C4BBB"/>
    <w:multiLevelType w:val="hybridMultilevel"/>
    <w:tmpl w:val="0DD63996"/>
    <w:lvl w:ilvl="0" w:tplc="A61C2056">
      <w:start w:val="1"/>
      <w:numFmt w:val="bullet"/>
      <w:lvlText w:val="-"/>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4B9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4F6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8F9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057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C5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E54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066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AFB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61"/>
    <w:rsid w:val="00043BCE"/>
    <w:rsid w:val="000658FF"/>
    <w:rsid w:val="000D26DD"/>
    <w:rsid w:val="00117A1B"/>
    <w:rsid w:val="00171852"/>
    <w:rsid w:val="001730B8"/>
    <w:rsid w:val="002A10A1"/>
    <w:rsid w:val="003563EB"/>
    <w:rsid w:val="003A4161"/>
    <w:rsid w:val="003E1B4B"/>
    <w:rsid w:val="004802E9"/>
    <w:rsid w:val="004B3903"/>
    <w:rsid w:val="00540404"/>
    <w:rsid w:val="005C1D4D"/>
    <w:rsid w:val="00715991"/>
    <w:rsid w:val="00740EA7"/>
    <w:rsid w:val="0097718C"/>
    <w:rsid w:val="00982731"/>
    <w:rsid w:val="00B73EF8"/>
    <w:rsid w:val="00CE5E34"/>
    <w:rsid w:val="00D63B6E"/>
    <w:rsid w:val="00E75BB0"/>
    <w:rsid w:val="00F8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0D26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26D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D2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D26DD"/>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semiHidden/>
    <w:rsid w:val="000D26D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semiHidden/>
    <w:rsid w:val="000D26DD"/>
    <w:rPr>
      <w:rFonts w:asciiTheme="majorHAnsi" w:eastAsiaTheme="majorEastAsia" w:hAnsiTheme="majorHAnsi" w:cstheme="majorBidi"/>
      <w:i/>
      <w:iCs/>
      <w:color w:val="2E74B5" w:themeColor="accent1" w:themeShade="B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0D26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26D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D2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D26DD"/>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semiHidden/>
    <w:rsid w:val="000D26D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semiHidden/>
    <w:rsid w:val="000D26DD"/>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й</cp:lastModifiedBy>
  <cp:revision>2</cp:revision>
  <dcterms:created xsi:type="dcterms:W3CDTF">2025-03-21T14:44:00Z</dcterms:created>
  <dcterms:modified xsi:type="dcterms:W3CDTF">2025-03-21T14:44:00Z</dcterms:modified>
</cp:coreProperties>
</file>